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vertAnchor="page" w:horzAnchor="margin" w:tblpXSpec="center" w:tblpY="568"/>
        <w:tblW w:w="10347" w:type="dxa"/>
        <w:tblBorders>
          <w:top w:val="nil"/>
          <w:left w:val="nil"/>
          <w:bottom w:val="nil"/>
          <w:right w:val="nil"/>
          <w:insideH w:val="nil"/>
          <w:insideV w:val="nil"/>
        </w:tblBorders>
        <w:shd w:val="clear" w:color="auto" w:fill="FFFFFF"/>
        <w:tblLook w:val="01E0"/>
      </w:tblPr>
      <w:tblGrid>
        <w:gridCol w:w="10347"/>
      </w:tblGrid>
      <w:tr w:rsidR="00895CCE">
        <w:trPr>
          <w:trHeight w:val="722"/>
        </w:trPr>
        <w:tc>
          <w:tcPr>
            <w:tcW w:w="10347" w:type="dxa"/>
            <w:shd w:val="clear" w:color="auto" w:fill="FFFFFF"/>
            <w:vAlign w:val="center"/>
          </w:tcPr>
          <w:p w:rsidR="00895CCE" w:rsidRDefault="00D65E8D">
            <w:pPr>
              <w:pStyle w:val="En-tte"/>
              <w:tabs>
                <w:tab w:val="clear" w:pos="4536"/>
                <w:tab w:val="clear" w:pos="9072"/>
              </w:tabs>
              <w:jc w:val="center"/>
              <w:rPr>
                <w:rFonts w:ascii="Arial" w:hAnsi="Arial"/>
                <w:sz w:val="16"/>
                <w:szCs w:val="16"/>
              </w:rPr>
            </w:pPr>
            <w:r>
              <w:rPr>
                <w:noProof/>
              </w:rPr>
              <w:drawing>
                <wp:inline distT="0" distB="0" distL="0" distR="0">
                  <wp:extent cx="2529840" cy="1149096"/>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stretch>
                            <a:fillRect/>
                          </a:stretch>
                        </pic:blipFill>
                        <pic:spPr>
                          <a:xfrm>
                            <a:off x="0" y="0"/>
                            <a:ext cx="2529840" cy="1149096"/>
                          </a:xfrm>
                          <a:prstGeom prst="rect">
                            <a:avLst/>
                          </a:prstGeom>
                        </pic:spPr>
                      </pic:pic>
                    </a:graphicData>
                  </a:graphic>
                </wp:inline>
              </w:drawing>
            </w:r>
          </w:p>
        </w:tc>
      </w:tr>
    </w:tbl>
    <w:p w:rsidR="00895CCE" w:rsidRDefault="00D65E8D">
      <w:pPr>
        <w:spacing w:after="80"/>
        <w:jc w:val="center"/>
        <w:rPr>
          <w:rFonts w:ascii="Arial" w:hAnsi="Arial"/>
          <w:sz w:val="20"/>
          <w:szCs w:val="20"/>
        </w:rPr>
      </w:pPr>
      <w:r>
        <w:rPr>
          <w:rFonts w:ascii="Arial" w:hAnsi="Arial"/>
          <w:b/>
          <w:sz w:val="36"/>
          <w:szCs w:val="36"/>
        </w:rPr>
        <w:t xml:space="preserve">Diagnostic de performance énergétique </w:t>
      </w:r>
      <w:r>
        <w:rPr>
          <w:rFonts w:ascii="Arial" w:hAnsi="Arial"/>
          <w:b/>
          <w:sz w:val="20"/>
          <w:szCs w:val="20"/>
        </w:rPr>
        <w:t>– logement (6.1)</w:t>
      </w:r>
    </w:p>
    <w:tbl>
      <w:tblPr>
        <w:tblW w:w="10800" w:type="dxa"/>
        <w:tblInd w:w="85" w:type="dxa"/>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23" w:type="dxa"/>
          <w:left w:w="85" w:type="dxa"/>
          <w:bottom w:w="23" w:type="dxa"/>
          <w:right w:w="85" w:type="dxa"/>
        </w:tblCellMar>
        <w:tblLook w:val="01E0"/>
      </w:tblPr>
      <w:tblGrid>
        <w:gridCol w:w="5400"/>
        <w:gridCol w:w="5400"/>
      </w:tblGrid>
      <w:tr w:rsidR="00895CCE">
        <w:trPr>
          <w:trHeight w:val="1452"/>
        </w:trPr>
        <w:tc>
          <w:tcPr>
            <w:tcW w:w="5400" w:type="dxa"/>
            <w:tcBorders>
              <w:left w:val="nil"/>
              <w:right w:val="single" w:sz="4" w:space="0" w:color="auto"/>
            </w:tcBorders>
          </w:tcPr>
          <w:p w:rsidR="00895CCE" w:rsidRDefault="00D65E8D">
            <w:pPr>
              <w:tabs>
                <w:tab w:val="left" w:leader="dot" w:pos="2042"/>
              </w:tabs>
              <w:spacing w:before="60"/>
              <w:ind w:left="2042" w:hanging="2042"/>
              <w:rPr>
                <w:rFonts w:ascii="Arial" w:hAnsi="Arial"/>
                <w:sz w:val="18"/>
                <w:szCs w:val="18"/>
              </w:rPr>
            </w:pPr>
            <w:r>
              <w:rPr>
                <w:rFonts w:ascii="Arial" w:hAnsi="Arial"/>
                <w:sz w:val="18"/>
                <w:szCs w:val="18"/>
              </w:rPr>
              <w:t>N° :</w:t>
            </w:r>
            <w:r>
              <w:rPr>
                <w:rFonts w:ascii="Arial" w:hAnsi="Arial"/>
                <w:sz w:val="18"/>
                <w:szCs w:val="18"/>
              </w:rPr>
              <w:tab/>
            </w:r>
            <w:r>
              <w:rPr>
                <w:rFonts w:ascii="Arial" w:hAnsi="Arial"/>
                <w:sz w:val="20"/>
                <w:szCs w:val="20"/>
              </w:rPr>
              <w:t>19/IMO/03957</w:t>
            </w:r>
          </w:p>
          <w:p w:rsidR="00895CCE" w:rsidRDefault="00D65E8D">
            <w:pPr>
              <w:tabs>
                <w:tab w:val="left" w:leader="dot" w:pos="2042"/>
              </w:tabs>
              <w:ind w:left="2042" w:hanging="2042"/>
              <w:rPr>
                <w:rFonts w:ascii="Arial" w:hAnsi="Arial"/>
                <w:sz w:val="18"/>
                <w:szCs w:val="18"/>
              </w:rPr>
            </w:pPr>
            <w:r>
              <w:rPr>
                <w:rFonts w:ascii="Arial" w:hAnsi="Arial"/>
                <w:sz w:val="18"/>
                <w:szCs w:val="18"/>
              </w:rPr>
              <w:t>Valable jusqu’au :</w:t>
            </w:r>
            <w:r>
              <w:rPr>
                <w:rFonts w:ascii="Arial" w:hAnsi="Arial"/>
                <w:sz w:val="18"/>
                <w:szCs w:val="18"/>
              </w:rPr>
              <w:tab/>
              <w:t>10/03/2029</w:t>
            </w:r>
          </w:p>
          <w:p w:rsidR="00895CCE" w:rsidRDefault="00D65E8D">
            <w:pPr>
              <w:tabs>
                <w:tab w:val="left" w:leader="dot" w:pos="2042"/>
              </w:tabs>
              <w:ind w:left="2042" w:hanging="2042"/>
              <w:rPr>
                <w:rFonts w:ascii="Arial" w:hAnsi="Arial"/>
                <w:sz w:val="18"/>
                <w:szCs w:val="18"/>
              </w:rPr>
            </w:pPr>
            <w:r>
              <w:rPr>
                <w:rFonts w:ascii="Arial" w:hAnsi="Arial"/>
                <w:sz w:val="18"/>
                <w:szCs w:val="18"/>
              </w:rPr>
              <w:t>Type de bâtiment :</w:t>
            </w:r>
            <w:r>
              <w:rPr>
                <w:rFonts w:ascii="Arial" w:hAnsi="Arial"/>
                <w:sz w:val="18"/>
                <w:szCs w:val="18"/>
              </w:rPr>
              <w:tab/>
            </w:r>
            <w:r>
              <w:rPr>
                <w:rFonts w:ascii="Arial" w:hAnsi="Arial"/>
                <w:sz w:val="20"/>
                <w:szCs w:val="20"/>
              </w:rPr>
              <w:t>Habitation (en maison individuelle)</w:t>
            </w:r>
          </w:p>
          <w:p w:rsidR="00895CCE" w:rsidRDefault="00D65E8D">
            <w:pPr>
              <w:tabs>
                <w:tab w:val="left" w:leader="dot" w:pos="2042"/>
              </w:tabs>
              <w:ind w:left="2042" w:hanging="2042"/>
              <w:rPr>
                <w:rFonts w:ascii="Arial" w:hAnsi="Arial"/>
                <w:sz w:val="18"/>
                <w:szCs w:val="18"/>
              </w:rPr>
            </w:pPr>
            <w:r>
              <w:rPr>
                <w:rFonts w:ascii="Arial" w:hAnsi="Arial"/>
                <w:sz w:val="18"/>
                <w:szCs w:val="18"/>
              </w:rPr>
              <w:t>Année de construction :</w:t>
            </w:r>
            <w:r>
              <w:rPr>
                <w:rFonts w:ascii="Arial" w:hAnsi="Arial"/>
                <w:sz w:val="18"/>
                <w:szCs w:val="18"/>
              </w:rPr>
              <w:tab/>
            </w:r>
            <w:r>
              <w:rPr>
                <w:rFonts w:ascii="Arial" w:hAnsi="Arial"/>
                <w:sz w:val="20"/>
                <w:szCs w:val="20"/>
              </w:rPr>
              <w:t>1970</w:t>
            </w:r>
          </w:p>
          <w:p w:rsidR="00895CCE" w:rsidRDefault="00D65E8D">
            <w:pPr>
              <w:tabs>
                <w:tab w:val="left" w:leader="dot" w:pos="2042"/>
              </w:tabs>
              <w:ind w:left="2042" w:hanging="2042"/>
              <w:rPr>
                <w:rFonts w:ascii="Arial" w:hAnsi="Arial"/>
                <w:sz w:val="18"/>
                <w:szCs w:val="18"/>
              </w:rPr>
            </w:pPr>
            <w:r>
              <w:rPr>
                <w:rFonts w:ascii="Arial" w:hAnsi="Arial"/>
                <w:sz w:val="18"/>
                <w:szCs w:val="18"/>
              </w:rPr>
              <w:t>Surface habitable :</w:t>
            </w:r>
            <w:r>
              <w:rPr>
                <w:rFonts w:ascii="Arial" w:hAnsi="Arial"/>
                <w:sz w:val="18"/>
                <w:szCs w:val="18"/>
              </w:rPr>
              <w:tab/>
            </w:r>
            <w:r>
              <w:rPr>
                <w:rFonts w:ascii="Arial" w:hAnsi="Arial"/>
                <w:sz w:val="20"/>
                <w:szCs w:val="20"/>
              </w:rPr>
              <w:t>84,50 m²</w:t>
            </w:r>
          </w:p>
          <w:p w:rsidR="00895CCE" w:rsidRDefault="00D65E8D">
            <w:pPr>
              <w:tabs>
                <w:tab w:val="left" w:leader="dot" w:pos="2042"/>
              </w:tabs>
              <w:ind w:left="2042" w:hanging="2042"/>
              <w:rPr>
                <w:rFonts w:ascii="Arial" w:hAnsi="Arial"/>
                <w:sz w:val="20"/>
                <w:szCs w:val="20"/>
              </w:rPr>
            </w:pPr>
            <w:r>
              <w:rPr>
                <w:rFonts w:ascii="Arial" w:hAnsi="Arial"/>
                <w:sz w:val="18"/>
                <w:szCs w:val="18"/>
              </w:rPr>
              <w:t>Adresse :</w:t>
            </w:r>
            <w:r>
              <w:rPr>
                <w:rFonts w:ascii="Arial" w:hAnsi="Arial"/>
                <w:sz w:val="18"/>
                <w:szCs w:val="18"/>
              </w:rPr>
              <w:tab/>
            </w:r>
            <w:r>
              <w:rPr>
                <w:rFonts w:ascii="Arial" w:hAnsi="Arial"/>
                <w:sz w:val="20"/>
                <w:szCs w:val="20"/>
              </w:rPr>
              <w:t>50 Hameau de la Roche</w:t>
            </w:r>
            <w:r>
              <w:br/>
            </w:r>
            <w:r>
              <w:rPr>
                <w:rFonts w:ascii="Arial" w:hAnsi="Arial"/>
                <w:sz w:val="20"/>
                <w:szCs w:val="20"/>
              </w:rPr>
              <w:t>(Ne fait pas partie d'une copropriété, N° de lot: )</w:t>
            </w:r>
          </w:p>
          <w:p w:rsidR="00895CCE" w:rsidRDefault="00D65E8D">
            <w:pPr>
              <w:tabs>
                <w:tab w:val="left" w:pos="2042"/>
              </w:tabs>
              <w:spacing w:after="60"/>
              <w:ind w:left="2042" w:hanging="2042"/>
              <w:rPr>
                <w:rFonts w:ascii="Arial" w:hAnsi="Arial"/>
              </w:rPr>
            </w:pPr>
            <w:r>
              <w:rPr>
                <w:rFonts w:ascii="Arial" w:hAnsi="Arial"/>
                <w:sz w:val="20"/>
                <w:szCs w:val="20"/>
              </w:rPr>
              <w:tab/>
              <w:t>26600 LA ROCHE-DE-GLUN</w:t>
            </w:r>
          </w:p>
        </w:tc>
        <w:tc>
          <w:tcPr>
            <w:tcW w:w="5400" w:type="dxa"/>
            <w:tcBorders>
              <w:left w:val="single" w:sz="4" w:space="0" w:color="auto"/>
            </w:tcBorders>
          </w:tcPr>
          <w:p w:rsidR="00895CCE" w:rsidRDefault="00D65E8D">
            <w:pPr>
              <w:pStyle w:val="En-tte"/>
              <w:tabs>
                <w:tab w:val="left" w:leader="dot" w:pos="1420"/>
              </w:tabs>
              <w:ind w:left="1420" w:hanging="1420"/>
              <w:rPr>
                <w:rFonts w:ascii="Arial" w:hAnsi="Arial"/>
                <w:sz w:val="18"/>
                <w:szCs w:val="18"/>
              </w:rPr>
            </w:pPr>
            <w:r>
              <w:rPr>
                <w:rFonts w:ascii="Arial" w:hAnsi="Arial"/>
                <w:sz w:val="18"/>
                <w:szCs w:val="18"/>
              </w:rPr>
              <w:t>Date (visite) :</w:t>
            </w:r>
            <w:r>
              <w:rPr>
                <w:rFonts w:ascii="Arial" w:hAnsi="Arial"/>
                <w:sz w:val="18"/>
                <w:szCs w:val="18"/>
              </w:rPr>
              <w:tab/>
              <w:t xml:space="preserve">11/03/2019 </w:t>
            </w:r>
          </w:p>
          <w:p w:rsidR="00895CCE" w:rsidRDefault="00D65E8D">
            <w:pPr>
              <w:pStyle w:val="En-tte"/>
              <w:tabs>
                <w:tab w:val="left" w:leader="dot" w:pos="1420"/>
              </w:tabs>
              <w:ind w:left="1420" w:hanging="1420"/>
              <w:rPr>
                <w:rFonts w:ascii="Arial" w:hAnsi="Arial"/>
                <w:sz w:val="18"/>
                <w:szCs w:val="18"/>
              </w:rPr>
            </w:pPr>
            <w:r>
              <w:rPr>
                <w:rFonts w:ascii="Arial" w:hAnsi="Arial"/>
                <w:sz w:val="18"/>
                <w:szCs w:val="18"/>
              </w:rPr>
              <w:t>Diagnostiqueur :</w:t>
            </w:r>
            <w:r>
              <w:rPr>
                <w:rFonts w:ascii="Arial" w:hAnsi="Arial"/>
                <w:sz w:val="18"/>
                <w:szCs w:val="18"/>
              </w:rPr>
              <w:tab/>
              <w:t>Buffière François</w:t>
            </w:r>
          </w:p>
          <w:p w:rsidR="00895CCE" w:rsidRDefault="00D65E8D">
            <w:pPr>
              <w:pStyle w:val="En-tte"/>
              <w:tabs>
                <w:tab w:val="left" w:leader="dot" w:pos="1178"/>
              </w:tabs>
              <w:rPr>
                <w:rFonts w:ascii="Arial" w:hAnsi="Arial"/>
                <w:sz w:val="18"/>
                <w:szCs w:val="18"/>
              </w:rPr>
            </w:pPr>
            <w:r>
              <w:rPr>
                <w:rFonts w:ascii="Arial" w:hAnsi="Arial"/>
                <w:sz w:val="18"/>
                <w:szCs w:val="18"/>
              </w:rPr>
              <w:t>Certification : BUREAU VERITAS CERTIFICATION France n°2</w:t>
            </w:r>
            <w:r>
              <w:rPr>
                <w:rFonts w:ascii="Arial" w:hAnsi="Arial"/>
                <w:sz w:val="18"/>
                <w:szCs w:val="18"/>
              </w:rPr>
              <w:t>832296 obtenue le24/05/2016</w:t>
            </w:r>
          </w:p>
          <w:p w:rsidR="00895CCE" w:rsidRDefault="00D65E8D">
            <w:pPr>
              <w:spacing w:after="60"/>
              <w:contextualSpacing/>
              <w:rPr>
                <w:rFonts w:ascii="Arial" w:hAnsi="Arial"/>
                <w:sz w:val="8"/>
                <w:szCs w:val="8"/>
              </w:rPr>
            </w:pPr>
            <w:r>
              <w:rPr>
                <w:rFonts w:ascii="Arial" w:hAnsi="Arial"/>
                <w:sz w:val="18"/>
                <w:szCs w:val="18"/>
              </w:rPr>
              <w:t xml:space="preserve">Signature : </w:t>
            </w:r>
          </w:p>
          <w:p w:rsidR="00895CCE" w:rsidRDefault="00D65E8D">
            <w:pPr>
              <w:spacing w:after="60"/>
              <w:contextualSpacing/>
              <w:rPr>
                <w:rFonts w:ascii="Arial" w:hAnsi="Arial"/>
                <w:sz w:val="8"/>
                <w:szCs w:val="8"/>
              </w:rPr>
            </w:pPr>
            <w:r>
              <w:rPr>
                <w:noProof/>
              </w:rPr>
              <w:drawing>
                <wp:anchor distT="0" distB="0" distL="115200" distR="115200" simplePos="0" relativeHeight="251659264" behindDoc="1" locked="0" layoutInCell="1" allowOverlap="1">
                  <wp:simplePos x="0" y="0"/>
                  <wp:positionH relativeFrom="character">
                    <wp:posOffset>679772</wp:posOffset>
                  </wp:positionH>
                  <wp:positionV relativeFrom="paragraph">
                    <wp:posOffset>-190500</wp:posOffset>
                  </wp:positionV>
                  <wp:extent cx="1812727" cy="889000"/>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stretch>
                            <a:fillRect/>
                          </a:stretch>
                        </pic:blipFill>
                        <pic:spPr>
                          <a:xfrm>
                            <a:off x="0" y="0"/>
                            <a:ext cx="1812727" cy="889000"/>
                          </a:xfrm>
                          <a:prstGeom prst="rect">
                            <a:avLst/>
                          </a:prstGeom>
                        </pic:spPr>
                      </pic:pic>
                    </a:graphicData>
                  </a:graphic>
                </wp:anchor>
              </w:drawing>
            </w:r>
          </w:p>
        </w:tc>
      </w:tr>
      <w:tr w:rsidR="00895CCE">
        <w:trPr>
          <w:trHeight w:val="533"/>
        </w:trPr>
        <w:tc>
          <w:tcPr>
            <w:tcW w:w="5400" w:type="dxa"/>
            <w:tcBorders>
              <w:left w:val="nil"/>
              <w:right w:val="single" w:sz="4" w:space="0" w:color="auto"/>
            </w:tcBorders>
          </w:tcPr>
          <w:p w:rsidR="00895CCE" w:rsidRDefault="00D65E8D">
            <w:pPr>
              <w:spacing w:before="60"/>
              <w:rPr>
                <w:rFonts w:ascii="Arial" w:hAnsi="Arial"/>
                <w:b/>
                <w:sz w:val="18"/>
                <w:szCs w:val="18"/>
              </w:rPr>
            </w:pPr>
            <w:r>
              <w:rPr>
                <w:rFonts w:ascii="Arial" w:hAnsi="Arial"/>
                <w:b/>
                <w:sz w:val="18"/>
                <w:szCs w:val="18"/>
              </w:rPr>
              <w:t>Propriétaire :</w:t>
            </w:r>
          </w:p>
          <w:p w:rsidR="00895CCE" w:rsidRDefault="00D65E8D">
            <w:pPr>
              <w:tabs>
                <w:tab w:val="left" w:leader="dot" w:pos="2042"/>
              </w:tabs>
              <w:ind w:left="2042" w:hanging="2042"/>
              <w:rPr>
                <w:rFonts w:ascii="Arial" w:hAnsi="Arial"/>
                <w:sz w:val="18"/>
                <w:szCs w:val="18"/>
              </w:rPr>
            </w:pPr>
            <w:r>
              <w:rPr>
                <w:rFonts w:ascii="Arial" w:hAnsi="Arial"/>
                <w:sz w:val="18"/>
                <w:szCs w:val="18"/>
              </w:rPr>
              <w:t>Nom :</w:t>
            </w:r>
            <w:r>
              <w:rPr>
                <w:rFonts w:ascii="Arial" w:hAnsi="Arial"/>
                <w:sz w:val="18"/>
                <w:szCs w:val="18"/>
              </w:rPr>
              <w:tab/>
            </w:r>
            <w:r>
              <w:rPr>
                <w:rFonts w:ascii="Arial" w:hAnsi="Arial"/>
                <w:sz w:val="20"/>
                <w:szCs w:val="20"/>
              </w:rPr>
              <w:t>M. et Mme GONNOT Olivier</w:t>
            </w:r>
          </w:p>
          <w:p w:rsidR="00895CCE" w:rsidRDefault="00D65E8D">
            <w:pPr>
              <w:tabs>
                <w:tab w:val="left" w:leader="dot" w:pos="2042"/>
              </w:tabs>
              <w:ind w:left="2042" w:hanging="2042"/>
              <w:rPr>
                <w:rFonts w:ascii="Arial" w:hAnsi="Arial"/>
                <w:sz w:val="18"/>
                <w:szCs w:val="18"/>
              </w:rPr>
            </w:pPr>
            <w:r>
              <w:rPr>
                <w:rFonts w:ascii="Arial" w:hAnsi="Arial"/>
                <w:sz w:val="18"/>
                <w:szCs w:val="18"/>
              </w:rPr>
              <w:t>Adresse :</w:t>
            </w:r>
            <w:r>
              <w:rPr>
                <w:rFonts w:ascii="Arial" w:hAnsi="Arial"/>
                <w:sz w:val="18"/>
                <w:szCs w:val="18"/>
              </w:rPr>
              <w:tab/>
            </w:r>
            <w:r>
              <w:rPr>
                <w:rFonts w:ascii="Arial" w:hAnsi="Arial"/>
                <w:sz w:val="20"/>
                <w:szCs w:val="20"/>
              </w:rPr>
              <w:t>50 Hameau de la Roche</w:t>
            </w:r>
          </w:p>
          <w:p w:rsidR="00895CCE" w:rsidRDefault="00D65E8D">
            <w:pPr>
              <w:tabs>
                <w:tab w:val="left" w:pos="2042"/>
              </w:tabs>
              <w:spacing w:after="60"/>
              <w:ind w:left="2042" w:hanging="2042"/>
              <w:rPr>
                <w:rFonts w:ascii="Arial" w:hAnsi="Arial"/>
              </w:rPr>
            </w:pPr>
            <w:r>
              <w:rPr>
                <w:rFonts w:ascii="Arial" w:hAnsi="Arial"/>
                <w:sz w:val="20"/>
                <w:szCs w:val="20"/>
              </w:rPr>
              <w:tab/>
              <w:t>26600 LA ROCHE-DE-GLUN</w:t>
            </w:r>
          </w:p>
        </w:tc>
        <w:tc>
          <w:tcPr>
            <w:tcW w:w="5400" w:type="dxa"/>
            <w:tcBorders>
              <w:left w:val="single" w:sz="4" w:space="0" w:color="auto"/>
            </w:tcBorders>
          </w:tcPr>
          <w:p w:rsidR="00895CCE" w:rsidRDefault="00D65E8D">
            <w:pPr>
              <w:spacing w:before="60"/>
              <w:rPr>
                <w:rFonts w:ascii="Arial" w:hAnsi="Arial"/>
                <w:sz w:val="18"/>
                <w:szCs w:val="18"/>
              </w:rPr>
            </w:pPr>
            <w:r>
              <w:rPr>
                <w:rFonts w:ascii="Arial" w:hAnsi="Arial"/>
                <w:b/>
                <w:sz w:val="18"/>
                <w:szCs w:val="18"/>
              </w:rPr>
              <w:t xml:space="preserve">Propriétaire des installations communes </w:t>
            </w:r>
            <w:r>
              <w:rPr>
                <w:rFonts w:ascii="Arial" w:hAnsi="Arial"/>
                <w:sz w:val="18"/>
                <w:szCs w:val="18"/>
              </w:rPr>
              <w:t>(s’il y a lieu) :</w:t>
            </w:r>
          </w:p>
          <w:p w:rsidR="00895CCE" w:rsidRDefault="00D65E8D">
            <w:pPr>
              <w:tabs>
                <w:tab w:val="left" w:leader="dot" w:pos="1420"/>
              </w:tabs>
              <w:ind w:left="1420" w:hanging="1420"/>
              <w:rPr>
                <w:rFonts w:ascii="Arial" w:hAnsi="Arial"/>
                <w:sz w:val="18"/>
                <w:szCs w:val="18"/>
              </w:rPr>
            </w:pPr>
            <w:r>
              <w:rPr>
                <w:rFonts w:ascii="Arial" w:hAnsi="Arial"/>
                <w:sz w:val="18"/>
                <w:szCs w:val="18"/>
              </w:rPr>
              <w:t>Nom :</w:t>
            </w:r>
            <w:r>
              <w:rPr>
                <w:rFonts w:ascii="Arial" w:hAnsi="Arial"/>
                <w:sz w:val="18"/>
                <w:szCs w:val="18"/>
              </w:rPr>
              <w:tab/>
            </w:r>
          </w:p>
          <w:p w:rsidR="00895CCE" w:rsidRDefault="00D65E8D">
            <w:pPr>
              <w:tabs>
                <w:tab w:val="left" w:leader="dot" w:pos="1420"/>
              </w:tabs>
              <w:spacing w:after="60"/>
              <w:ind w:left="1420" w:hanging="1420"/>
              <w:rPr>
                <w:rFonts w:ascii="Arial" w:hAnsi="Arial"/>
                <w:sz w:val="18"/>
                <w:szCs w:val="18"/>
              </w:rPr>
            </w:pPr>
            <w:r>
              <w:rPr>
                <w:rFonts w:ascii="Arial" w:hAnsi="Arial"/>
                <w:sz w:val="18"/>
                <w:szCs w:val="18"/>
              </w:rPr>
              <w:t>Adresse :</w:t>
            </w:r>
            <w:r>
              <w:rPr>
                <w:rFonts w:ascii="Arial" w:hAnsi="Arial"/>
                <w:sz w:val="18"/>
                <w:szCs w:val="18"/>
              </w:rPr>
              <w:tab/>
            </w:r>
          </w:p>
        </w:tc>
      </w:tr>
    </w:tbl>
    <w:p w:rsidR="00895CCE" w:rsidRDefault="00D65E8D">
      <w:pPr>
        <w:pStyle w:val="Corpsdetexte3"/>
        <w:spacing w:before="120" w:after="120"/>
        <w:rPr>
          <w:rFonts w:ascii="Arial" w:hAnsi="Arial"/>
          <w:sz w:val="22"/>
          <w:szCs w:val="22"/>
          <w:u w:val="single"/>
        </w:rPr>
      </w:pPr>
      <w:r>
        <w:rPr>
          <w:rFonts w:ascii="Arial" w:hAnsi="Arial"/>
          <w:sz w:val="22"/>
          <w:szCs w:val="22"/>
          <w:u w:val="single"/>
        </w:rPr>
        <w:t xml:space="preserve">Consommations annuelles par </w:t>
      </w:r>
      <w:r>
        <w:rPr>
          <w:rFonts w:ascii="Arial" w:hAnsi="Arial"/>
          <w:sz w:val="22"/>
          <w:szCs w:val="22"/>
          <w:u w:val="single"/>
        </w:rPr>
        <w:t>énergie</w:t>
      </w:r>
    </w:p>
    <w:p w:rsidR="00895CCE" w:rsidRDefault="00D65E8D">
      <w:pPr>
        <w:spacing w:after="60"/>
        <w:jc w:val="both"/>
        <w:rPr>
          <w:rFonts w:ascii="Arial" w:hAnsi="Arial"/>
          <w:sz w:val="16"/>
          <w:szCs w:val="16"/>
        </w:rPr>
      </w:pPr>
      <w:r>
        <w:rPr>
          <w:rFonts w:ascii="Arial" w:hAnsi="Arial"/>
          <w:sz w:val="16"/>
          <w:szCs w:val="16"/>
        </w:rPr>
        <w:t xml:space="preserve">Obtenues par la méthode 3CL-DPE, version 1.3, estimées </w:t>
      </w:r>
      <w:r>
        <w:rPr>
          <w:rFonts w:ascii="Arial" w:hAnsi="Arial"/>
          <w:strike/>
          <w:sz w:val="16"/>
          <w:szCs w:val="16"/>
        </w:rPr>
        <w:t>à l'immeuble</w:t>
      </w:r>
      <w:r>
        <w:rPr>
          <w:rFonts w:ascii="Arial" w:hAnsi="Arial"/>
          <w:sz w:val="16"/>
          <w:szCs w:val="16"/>
        </w:rPr>
        <w:t xml:space="preserve"> / au logement, prix moyens des énergies indexés au 15 Août 2015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70" w:type="dxa"/>
          <w:bottom w:w="23" w:type="dxa"/>
          <w:right w:w="70" w:type="dxa"/>
        </w:tblCellMar>
        <w:tblLook w:val="0000"/>
      </w:tblPr>
      <w:tblGrid>
        <w:gridCol w:w="2226"/>
        <w:gridCol w:w="2675"/>
        <w:gridCol w:w="2676"/>
        <w:gridCol w:w="3223"/>
      </w:tblGrid>
      <w:tr w:rsidR="00895CCE">
        <w:trPr>
          <w:cantSplit/>
          <w:trHeight w:val="190"/>
        </w:trPr>
        <w:tc>
          <w:tcPr>
            <w:tcW w:w="2226" w:type="dxa"/>
            <w:vAlign w:val="center"/>
          </w:tcPr>
          <w:p w:rsidR="00895CCE" w:rsidRDefault="00895CCE">
            <w:pPr>
              <w:pStyle w:val="Corpsdetexte3"/>
              <w:spacing w:after="0"/>
              <w:jc w:val="center"/>
              <w:rPr>
                <w:rFonts w:ascii="Arial" w:hAnsi="Arial"/>
                <w:sz w:val="22"/>
                <w:szCs w:val="22"/>
                <w:u w:val="single"/>
              </w:rPr>
            </w:pPr>
          </w:p>
        </w:tc>
        <w:tc>
          <w:tcPr>
            <w:tcW w:w="2675" w:type="dxa"/>
            <w:vAlign w:val="center"/>
          </w:tcPr>
          <w:p w:rsidR="00895CCE" w:rsidRDefault="00D65E8D">
            <w:pPr>
              <w:pStyle w:val="Corpsdetexte3"/>
              <w:spacing w:after="0"/>
              <w:jc w:val="center"/>
              <w:rPr>
                <w:rFonts w:ascii="Arial" w:hAnsi="Arial"/>
                <w:sz w:val="18"/>
                <w:szCs w:val="18"/>
                <w:u w:val="single"/>
              </w:rPr>
            </w:pPr>
            <w:r>
              <w:rPr>
                <w:rFonts w:ascii="Arial" w:hAnsi="Arial"/>
                <w:sz w:val="18"/>
                <w:szCs w:val="18"/>
              </w:rPr>
              <w:t>Consommations en énergies finales</w:t>
            </w:r>
          </w:p>
        </w:tc>
        <w:tc>
          <w:tcPr>
            <w:tcW w:w="2676" w:type="dxa"/>
            <w:vAlign w:val="center"/>
          </w:tcPr>
          <w:p w:rsidR="00895CCE" w:rsidRDefault="00D65E8D">
            <w:pPr>
              <w:pStyle w:val="Corpsdetexte3"/>
              <w:spacing w:after="0"/>
              <w:jc w:val="center"/>
              <w:rPr>
                <w:rFonts w:ascii="Arial" w:hAnsi="Arial"/>
                <w:sz w:val="18"/>
                <w:szCs w:val="18"/>
                <w:u w:val="single"/>
              </w:rPr>
            </w:pPr>
            <w:r>
              <w:rPr>
                <w:rFonts w:ascii="Arial" w:hAnsi="Arial"/>
                <w:sz w:val="18"/>
                <w:szCs w:val="18"/>
              </w:rPr>
              <w:t>Consommations en énergie primaire</w:t>
            </w:r>
          </w:p>
        </w:tc>
        <w:tc>
          <w:tcPr>
            <w:tcW w:w="3223" w:type="dxa"/>
            <w:vAlign w:val="center"/>
          </w:tcPr>
          <w:p w:rsidR="00895CCE" w:rsidRDefault="00D65E8D">
            <w:pPr>
              <w:pStyle w:val="Corpsdetexte3"/>
              <w:spacing w:after="0"/>
              <w:jc w:val="center"/>
              <w:rPr>
                <w:rFonts w:ascii="Arial" w:hAnsi="Arial"/>
                <w:sz w:val="18"/>
                <w:szCs w:val="18"/>
              </w:rPr>
            </w:pPr>
            <w:r>
              <w:rPr>
                <w:rFonts w:ascii="Arial" w:hAnsi="Arial"/>
                <w:sz w:val="18"/>
                <w:szCs w:val="18"/>
              </w:rPr>
              <w:t>Frais annuels d’énergie</w:t>
            </w:r>
          </w:p>
        </w:tc>
      </w:tr>
      <w:tr w:rsidR="00895CCE">
        <w:trPr>
          <w:cantSplit/>
          <w:trHeight w:val="47"/>
        </w:trPr>
        <w:tc>
          <w:tcPr>
            <w:tcW w:w="2226" w:type="dxa"/>
            <w:vAlign w:val="center"/>
          </w:tcPr>
          <w:p w:rsidR="00895CCE" w:rsidRDefault="00895CCE">
            <w:pPr>
              <w:pStyle w:val="Corpsdetexte3"/>
              <w:spacing w:after="0"/>
              <w:jc w:val="center"/>
              <w:rPr>
                <w:rFonts w:ascii="Arial" w:hAnsi="Arial"/>
                <w:b w:val="0"/>
                <w:sz w:val="16"/>
                <w:szCs w:val="16"/>
                <w:u w:val="single"/>
              </w:rPr>
            </w:pPr>
          </w:p>
        </w:tc>
        <w:tc>
          <w:tcPr>
            <w:tcW w:w="2675" w:type="dxa"/>
            <w:vAlign w:val="center"/>
          </w:tcPr>
          <w:p w:rsidR="00895CCE" w:rsidRDefault="00D65E8D">
            <w:pPr>
              <w:pStyle w:val="Corpsdetexte3"/>
              <w:spacing w:after="0"/>
              <w:jc w:val="center"/>
              <w:rPr>
                <w:rFonts w:ascii="Arial" w:hAnsi="Arial"/>
                <w:b w:val="0"/>
                <w:sz w:val="16"/>
                <w:szCs w:val="16"/>
              </w:rPr>
            </w:pPr>
            <w:r>
              <w:rPr>
                <w:rFonts w:ascii="Arial" w:hAnsi="Arial"/>
                <w:b w:val="0"/>
                <w:sz w:val="16"/>
                <w:szCs w:val="16"/>
              </w:rPr>
              <w:t>détail par énergie et par usage en kWh</w:t>
            </w:r>
            <w:r>
              <w:rPr>
                <w:rFonts w:ascii="Arial" w:hAnsi="Arial"/>
                <w:b w:val="0"/>
                <w:sz w:val="16"/>
                <w:szCs w:val="16"/>
                <w:vertAlign w:val="subscript"/>
              </w:rPr>
              <w:t>EF</w:t>
            </w:r>
          </w:p>
        </w:tc>
        <w:tc>
          <w:tcPr>
            <w:tcW w:w="2676" w:type="dxa"/>
            <w:vAlign w:val="center"/>
          </w:tcPr>
          <w:p w:rsidR="00895CCE" w:rsidRDefault="00D65E8D">
            <w:pPr>
              <w:pStyle w:val="Corpsdetexte3"/>
              <w:spacing w:after="0"/>
              <w:jc w:val="center"/>
              <w:rPr>
                <w:rFonts w:ascii="Arial" w:hAnsi="Arial"/>
                <w:b w:val="0"/>
                <w:sz w:val="16"/>
                <w:szCs w:val="16"/>
              </w:rPr>
            </w:pPr>
            <w:r>
              <w:rPr>
                <w:rFonts w:ascii="Arial" w:hAnsi="Arial"/>
                <w:b w:val="0"/>
                <w:sz w:val="16"/>
                <w:szCs w:val="16"/>
              </w:rPr>
              <w:t>détail par énergie et par usage en kWh</w:t>
            </w:r>
            <w:r>
              <w:rPr>
                <w:rFonts w:ascii="Arial" w:hAnsi="Arial"/>
                <w:b w:val="0"/>
                <w:sz w:val="16"/>
                <w:szCs w:val="16"/>
                <w:vertAlign w:val="subscript"/>
              </w:rPr>
              <w:t>EP</w:t>
            </w:r>
          </w:p>
        </w:tc>
        <w:tc>
          <w:tcPr>
            <w:tcW w:w="3223" w:type="dxa"/>
            <w:vAlign w:val="center"/>
          </w:tcPr>
          <w:p w:rsidR="00895CCE" w:rsidRDefault="00895CCE">
            <w:pPr>
              <w:pStyle w:val="Corpsdetexte3"/>
              <w:spacing w:after="0"/>
              <w:jc w:val="center"/>
              <w:rPr>
                <w:rFonts w:ascii="Arial" w:hAnsi="Arial"/>
                <w:b w:val="0"/>
                <w:sz w:val="16"/>
                <w:szCs w:val="16"/>
                <w:u w:val="single"/>
              </w:rPr>
            </w:pPr>
          </w:p>
        </w:tc>
      </w:tr>
      <w:tr w:rsidR="00895CCE">
        <w:trPr>
          <w:cantSplit/>
          <w:trHeight w:val="58"/>
        </w:trPr>
        <w:tc>
          <w:tcPr>
            <w:tcW w:w="2226" w:type="dxa"/>
            <w:vAlign w:val="center"/>
          </w:tcPr>
          <w:p w:rsidR="00895CCE" w:rsidRDefault="00D65E8D">
            <w:pPr>
              <w:rPr>
                <w:rFonts w:ascii="Arial" w:hAnsi="Arial"/>
                <w:b/>
                <w:sz w:val="17"/>
                <w:szCs w:val="17"/>
              </w:rPr>
            </w:pPr>
            <w:r>
              <w:rPr>
                <w:rFonts w:ascii="Arial" w:hAnsi="Arial"/>
                <w:b/>
                <w:sz w:val="17"/>
                <w:szCs w:val="17"/>
              </w:rPr>
              <w:t>Chauffage</w:t>
            </w:r>
          </w:p>
        </w:tc>
        <w:tc>
          <w:tcPr>
            <w:tcW w:w="2675"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Gaz Naturel : 10 473 kWh</w:t>
            </w:r>
            <w:r>
              <w:rPr>
                <w:rFonts w:ascii="Arial" w:hAnsi="Arial"/>
                <w:b w:val="0"/>
                <w:sz w:val="18"/>
                <w:szCs w:val="18"/>
                <w:vertAlign w:val="subscript"/>
              </w:rPr>
              <w:t>EF</w:t>
            </w:r>
          </w:p>
        </w:tc>
        <w:tc>
          <w:tcPr>
            <w:tcW w:w="2676"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10 473 kWh</w:t>
            </w:r>
            <w:r>
              <w:rPr>
                <w:rFonts w:ascii="Arial" w:hAnsi="Arial"/>
                <w:b w:val="0"/>
                <w:sz w:val="18"/>
                <w:szCs w:val="18"/>
                <w:vertAlign w:val="subscript"/>
              </w:rPr>
              <w:t>EP</w:t>
            </w:r>
          </w:p>
        </w:tc>
        <w:tc>
          <w:tcPr>
            <w:tcW w:w="3223" w:type="dxa"/>
            <w:vAlign w:val="center"/>
          </w:tcPr>
          <w:p w:rsidR="00895CCE" w:rsidRDefault="00D65E8D">
            <w:pPr>
              <w:jc w:val="center"/>
              <w:rPr>
                <w:rFonts w:ascii="Arial" w:hAnsi="Arial"/>
                <w:sz w:val="18"/>
                <w:szCs w:val="18"/>
              </w:rPr>
            </w:pPr>
            <w:r>
              <w:rPr>
                <w:rFonts w:ascii="Arial" w:hAnsi="Arial"/>
                <w:sz w:val="18"/>
                <w:szCs w:val="18"/>
              </w:rPr>
              <w:t>613 €</w:t>
            </w:r>
          </w:p>
        </w:tc>
      </w:tr>
      <w:tr w:rsidR="00895CCE">
        <w:trPr>
          <w:cantSplit/>
          <w:trHeight w:val="129"/>
        </w:trPr>
        <w:tc>
          <w:tcPr>
            <w:tcW w:w="2226" w:type="dxa"/>
            <w:vAlign w:val="center"/>
          </w:tcPr>
          <w:p w:rsidR="00895CCE" w:rsidRDefault="00D65E8D">
            <w:pPr>
              <w:rPr>
                <w:rFonts w:ascii="Arial" w:hAnsi="Arial"/>
                <w:b/>
                <w:sz w:val="17"/>
                <w:szCs w:val="17"/>
              </w:rPr>
            </w:pPr>
            <w:r>
              <w:rPr>
                <w:rFonts w:ascii="Arial" w:hAnsi="Arial"/>
                <w:b/>
                <w:sz w:val="17"/>
                <w:szCs w:val="17"/>
              </w:rPr>
              <w:t>Eau chaude sanitaire</w:t>
            </w:r>
          </w:p>
        </w:tc>
        <w:tc>
          <w:tcPr>
            <w:tcW w:w="2675"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Gaz Naturel : 2 595 kWh</w:t>
            </w:r>
            <w:r>
              <w:rPr>
                <w:rFonts w:ascii="Arial" w:hAnsi="Arial"/>
                <w:b w:val="0"/>
                <w:sz w:val="18"/>
                <w:szCs w:val="18"/>
                <w:vertAlign w:val="subscript"/>
              </w:rPr>
              <w:t>EF</w:t>
            </w:r>
          </w:p>
        </w:tc>
        <w:tc>
          <w:tcPr>
            <w:tcW w:w="2676"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2 595 kWh</w:t>
            </w:r>
            <w:r>
              <w:rPr>
                <w:rFonts w:ascii="Arial" w:hAnsi="Arial"/>
                <w:b w:val="0"/>
                <w:sz w:val="18"/>
                <w:szCs w:val="18"/>
                <w:vertAlign w:val="subscript"/>
              </w:rPr>
              <w:t>EP</w:t>
            </w:r>
          </w:p>
        </w:tc>
        <w:tc>
          <w:tcPr>
            <w:tcW w:w="3223" w:type="dxa"/>
            <w:vAlign w:val="center"/>
          </w:tcPr>
          <w:p w:rsidR="00895CCE" w:rsidRDefault="00D65E8D">
            <w:pPr>
              <w:jc w:val="center"/>
              <w:rPr>
                <w:rFonts w:ascii="Arial" w:hAnsi="Arial"/>
                <w:sz w:val="18"/>
                <w:szCs w:val="18"/>
              </w:rPr>
            </w:pPr>
            <w:r>
              <w:rPr>
                <w:rFonts w:ascii="Arial" w:hAnsi="Arial"/>
                <w:sz w:val="18"/>
                <w:szCs w:val="18"/>
              </w:rPr>
              <w:t>152 €</w:t>
            </w:r>
          </w:p>
        </w:tc>
      </w:tr>
      <w:tr w:rsidR="00895CCE">
        <w:trPr>
          <w:cantSplit/>
          <w:trHeight w:val="47"/>
        </w:trPr>
        <w:tc>
          <w:tcPr>
            <w:tcW w:w="2226" w:type="dxa"/>
            <w:vAlign w:val="center"/>
          </w:tcPr>
          <w:p w:rsidR="00895CCE" w:rsidRDefault="00D65E8D">
            <w:pPr>
              <w:rPr>
                <w:rFonts w:ascii="Arial" w:hAnsi="Arial"/>
                <w:b/>
                <w:sz w:val="17"/>
                <w:szCs w:val="17"/>
              </w:rPr>
            </w:pPr>
            <w:r>
              <w:rPr>
                <w:rFonts w:ascii="Arial" w:hAnsi="Arial"/>
                <w:b/>
                <w:sz w:val="17"/>
                <w:szCs w:val="17"/>
              </w:rPr>
              <w:t>Refroidissement</w:t>
            </w:r>
          </w:p>
        </w:tc>
        <w:tc>
          <w:tcPr>
            <w:tcW w:w="2675"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w:t>
            </w:r>
          </w:p>
        </w:tc>
        <w:tc>
          <w:tcPr>
            <w:tcW w:w="2676"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w:t>
            </w:r>
          </w:p>
        </w:tc>
        <w:tc>
          <w:tcPr>
            <w:tcW w:w="3223" w:type="dxa"/>
            <w:vAlign w:val="center"/>
          </w:tcPr>
          <w:p w:rsidR="00895CCE" w:rsidRDefault="00D65E8D">
            <w:pPr>
              <w:jc w:val="center"/>
              <w:rPr>
                <w:rFonts w:ascii="Arial" w:hAnsi="Arial"/>
                <w:sz w:val="18"/>
                <w:szCs w:val="18"/>
              </w:rPr>
            </w:pPr>
            <w:r>
              <w:rPr>
                <w:rFonts w:ascii="Arial" w:hAnsi="Arial"/>
                <w:sz w:val="18"/>
                <w:szCs w:val="18"/>
              </w:rPr>
              <w:t>-</w:t>
            </w:r>
          </w:p>
        </w:tc>
      </w:tr>
      <w:tr w:rsidR="00895CCE">
        <w:trPr>
          <w:cantSplit/>
          <w:trHeight w:val="340"/>
        </w:trPr>
        <w:tc>
          <w:tcPr>
            <w:tcW w:w="2226" w:type="dxa"/>
            <w:vAlign w:val="center"/>
          </w:tcPr>
          <w:p w:rsidR="00895CCE" w:rsidRDefault="00D65E8D">
            <w:pPr>
              <w:rPr>
                <w:rFonts w:ascii="Arial" w:hAnsi="Arial"/>
                <w:b/>
                <w:sz w:val="17"/>
                <w:szCs w:val="17"/>
              </w:rPr>
            </w:pPr>
            <w:r>
              <w:rPr>
                <w:rFonts w:ascii="Arial" w:hAnsi="Arial"/>
                <w:b/>
                <w:sz w:val="17"/>
                <w:szCs w:val="17"/>
              </w:rPr>
              <w:t xml:space="preserve">CONSOMMATION D'ENERGIE </w:t>
            </w:r>
            <w:r>
              <w:rPr>
                <w:rFonts w:ascii="Arial" w:hAnsi="Arial"/>
                <w:b/>
                <w:sz w:val="17"/>
                <w:szCs w:val="17"/>
              </w:rPr>
              <w:t>POUR LES USAGES RECENSÉS</w:t>
            </w:r>
          </w:p>
        </w:tc>
        <w:tc>
          <w:tcPr>
            <w:tcW w:w="2675"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Gaz Naturel : 13 068 kWh</w:t>
            </w:r>
            <w:r>
              <w:rPr>
                <w:rFonts w:ascii="Arial" w:hAnsi="Arial"/>
                <w:b w:val="0"/>
                <w:sz w:val="18"/>
                <w:szCs w:val="18"/>
                <w:vertAlign w:val="subscript"/>
              </w:rPr>
              <w:t>EF</w:t>
            </w:r>
          </w:p>
        </w:tc>
        <w:tc>
          <w:tcPr>
            <w:tcW w:w="2676" w:type="dxa"/>
            <w:vAlign w:val="center"/>
          </w:tcPr>
          <w:p w:rsidR="00895CCE" w:rsidRDefault="00D65E8D">
            <w:pPr>
              <w:pStyle w:val="Corpsdetexte3"/>
              <w:spacing w:after="0"/>
              <w:jc w:val="center"/>
              <w:rPr>
                <w:rFonts w:ascii="Arial" w:hAnsi="Arial"/>
                <w:b w:val="0"/>
                <w:sz w:val="18"/>
                <w:szCs w:val="18"/>
              </w:rPr>
            </w:pPr>
            <w:r>
              <w:rPr>
                <w:rFonts w:ascii="Arial" w:hAnsi="Arial"/>
                <w:b w:val="0"/>
                <w:sz w:val="18"/>
                <w:szCs w:val="18"/>
              </w:rPr>
              <w:t>13 068 kWh</w:t>
            </w:r>
            <w:r>
              <w:rPr>
                <w:rFonts w:ascii="Arial" w:hAnsi="Arial"/>
                <w:b w:val="0"/>
                <w:sz w:val="18"/>
                <w:szCs w:val="18"/>
                <w:vertAlign w:val="subscript"/>
              </w:rPr>
              <w:t>EP</w:t>
            </w:r>
          </w:p>
        </w:tc>
        <w:tc>
          <w:tcPr>
            <w:tcW w:w="3223" w:type="dxa"/>
            <w:vAlign w:val="center"/>
          </w:tcPr>
          <w:p w:rsidR="00895CCE" w:rsidRDefault="00D65E8D">
            <w:pPr>
              <w:jc w:val="center"/>
              <w:rPr>
                <w:rFonts w:ascii="Arial" w:hAnsi="Arial"/>
                <w:sz w:val="18"/>
                <w:szCs w:val="18"/>
              </w:rPr>
            </w:pPr>
            <w:r>
              <w:rPr>
                <w:rFonts w:ascii="Arial" w:hAnsi="Arial"/>
                <w:sz w:val="18"/>
                <w:szCs w:val="18"/>
              </w:rPr>
              <w:t>998 €</w:t>
            </w:r>
          </w:p>
          <w:p w:rsidR="00895CCE" w:rsidRDefault="00D65E8D">
            <w:pPr>
              <w:jc w:val="center"/>
            </w:pPr>
            <w:r>
              <w:rPr>
                <w:rFonts w:ascii="Arial" w:hAnsi="Arial"/>
                <w:sz w:val="18"/>
                <w:szCs w:val="18"/>
              </w:rPr>
              <w:t>(dont abonnement: 234 €)</w:t>
            </w:r>
          </w:p>
        </w:tc>
      </w:tr>
    </w:tbl>
    <w:p w:rsidR="00895CCE" w:rsidRDefault="00895CCE">
      <w:pPr>
        <w:jc w:val="both"/>
        <w:rPr>
          <w:rFonts w:ascii="Arial" w:hAnsi="Arial"/>
          <w:sz w:val="8"/>
          <w:szCs w:val="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70" w:type="dxa"/>
          <w:bottom w:w="23" w:type="dxa"/>
          <w:right w:w="70" w:type="dxa"/>
        </w:tblCellMar>
        <w:tblLook w:val="0000"/>
      </w:tblPr>
      <w:tblGrid>
        <w:gridCol w:w="5400"/>
        <w:gridCol w:w="5400"/>
      </w:tblGrid>
      <w:tr w:rsidR="00895CCE">
        <w:trPr>
          <w:cantSplit/>
          <w:trHeight w:val="505"/>
        </w:trPr>
        <w:tc>
          <w:tcPr>
            <w:tcW w:w="5400" w:type="dxa"/>
            <w:tcBorders>
              <w:top w:val="single" w:sz="4" w:space="0" w:color="auto"/>
              <w:left w:val="nil"/>
              <w:bottom w:val="single" w:sz="4" w:space="0" w:color="auto"/>
              <w:right w:val="single" w:sz="4" w:space="0" w:color="auto"/>
            </w:tcBorders>
            <w:vAlign w:val="center"/>
          </w:tcPr>
          <w:p w:rsidR="00895CCE" w:rsidRDefault="00D65E8D">
            <w:pPr>
              <w:pStyle w:val="Titre6"/>
              <w:spacing w:before="60" w:after="0"/>
              <w:jc w:val="center"/>
              <w:rPr>
                <w:rFonts w:ascii="Arial" w:hAnsi="Arial"/>
                <w:sz w:val="24"/>
                <w:szCs w:val="24"/>
              </w:rPr>
            </w:pPr>
            <w:r>
              <w:rPr>
                <w:rFonts w:ascii="Arial" w:hAnsi="Arial"/>
                <w:sz w:val="24"/>
                <w:szCs w:val="24"/>
              </w:rPr>
              <w:t>Consommations énergétiques</w:t>
            </w:r>
          </w:p>
          <w:p w:rsidR="00895CCE" w:rsidRDefault="00D65E8D">
            <w:pPr>
              <w:pStyle w:val="Titre6"/>
              <w:spacing w:before="0"/>
              <w:jc w:val="center"/>
              <w:rPr>
                <w:rFonts w:ascii="Arial" w:hAnsi="Arial"/>
                <w:b w:val="0"/>
                <w:sz w:val="16"/>
                <w:szCs w:val="16"/>
              </w:rPr>
            </w:pPr>
            <w:r>
              <w:rPr>
                <w:rFonts w:ascii="Arial" w:hAnsi="Arial"/>
                <w:b w:val="0"/>
                <w:sz w:val="16"/>
                <w:szCs w:val="16"/>
              </w:rPr>
              <w:t>(En énergie primaire)</w:t>
            </w:r>
          </w:p>
          <w:p w:rsidR="00895CCE" w:rsidRDefault="00D65E8D">
            <w:pPr>
              <w:pStyle w:val="Titre6"/>
              <w:spacing w:before="0" w:after="0"/>
              <w:jc w:val="center"/>
              <w:rPr>
                <w:rFonts w:ascii="Arial" w:hAnsi="Arial"/>
                <w:b w:val="0"/>
              </w:rPr>
            </w:pPr>
            <w:r>
              <w:rPr>
                <w:rFonts w:ascii="Arial" w:hAnsi="Arial"/>
                <w:sz w:val="20"/>
                <w:szCs w:val="20"/>
              </w:rPr>
              <w:t>Pour le chauffage, la production d’eau chaude sanitaire et le refroidissement</w:t>
            </w:r>
          </w:p>
        </w:tc>
        <w:tc>
          <w:tcPr>
            <w:tcW w:w="5400" w:type="dxa"/>
            <w:tcBorders>
              <w:top w:val="single" w:sz="4" w:space="0" w:color="auto"/>
              <w:left w:val="single" w:sz="4" w:space="0" w:color="auto"/>
              <w:bottom w:val="single" w:sz="4" w:space="0" w:color="auto"/>
              <w:right w:val="nil"/>
            </w:tcBorders>
            <w:vAlign w:val="center"/>
          </w:tcPr>
          <w:p w:rsidR="00895CCE" w:rsidRDefault="00D65E8D">
            <w:pPr>
              <w:pStyle w:val="Titre6"/>
              <w:spacing w:before="60" w:after="0"/>
              <w:jc w:val="center"/>
              <w:rPr>
                <w:rFonts w:ascii="Arial" w:hAnsi="Arial"/>
                <w:sz w:val="24"/>
                <w:szCs w:val="24"/>
              </w:rPr>
            </w:pPr>
            <w:r>
              <w:rPr>
                <w:rFonts w:ascii="Arial" w:hAnsi="Arial"/>
                <w:sz w:val="24"/>
                <w:szCs w:val="24"/>
              </w:rPr>
              <w:t xml:space="preserve">Émissions de gaz à effet de </w:t>
            </w:r>
            <w:r>
              <w:rPr>
                <w:rFonts w:ascii="Arial" w:hAnsi="Arial"/>
                <w:sz w:val="24"/>
                <w:szCs w:val="24"/>
              </w:rPr>
              <w:t>serre</w:t>
            </w:r>
          </w:p>
          <w:p w:rsidR="00895CCE" w:rsidRDefault="00D65E8D">
            <w:pPr>
              <w:pStyle w:val="Titre6"/>
              <w:spacing w:before="0"/>
              <w:jc w:val="center"/>
              <w:rPr>
                <w:rFonts w:ascii="Arial" w:hAnsi="Arial"/>
                <w:sz w:val="20"/>
                <w:szCs w:val="20"/>
              </w:rPr>
            </w:pPr>
            <w:r>
              <w:rPr>
                <w:rFonts w:ascii="Arial" w:hAnsi="Arial"/>
                <w:b w:val="0"/>
                <w:sz w:val="16"/>
                <w:szCs w:val="16"/>
              </w:rPr>
              <w:t>(GES)</w:t>
            </w:r>
          </w:p>
          <w:p w:rsidR="00895CCE" w:rsidRDefault="00D65E8D">
            <w:pPr>
              <w:pStyle w:val="Titre6"/>
              <w:spacing w:before="0" w:after="0"/>
              <w:jc w:val="center"/>
              <w:rPr>
                <w:rFonts w:ascii="Arial" w:hAnsi="Arial"/>
                <w:b w:val="0"/>
              </w:rPr>
            </w:pPr>
            <w:r>
              <w:rPr>
                <w:rFonts w:ascii="Arial" w:hAnsi="Arial"/>
                <w:sz w:val="20"/>
                <w:szCs w:val="20"/>
              </w:rPr>
              <w:t>Pour le chauffage, la production d’eau chaude sanitaire et le refroidissement</w:t>
            </w:r>
          </w:p>
        </w:tc>
      </w:tr>
      <w:tr w:rsidR="00895CCE">
        <w:trPr>
          <w:cantSplit/>
          <w:trHeight w:val="47"/>
        </w:trPr>
        <w:tc>
          <w:tcPr>
            <w:tcW w:w="5400" w:type="dxa"/>
            <w:tcBorders>
              <w:top w:val="single" w:sz="4" w:space="0" w:color="auto"/>
              <w:left w:val="nil"/>
              <w:bottom w:val="single" w:sz="4" w:space="0" w:color="auto"/>
              <w:right w:val="nil"/>
            </w:tcBorders>
            <w:vAlign w:val="center"/>
          </w:tcPr>
          <w:p w:rsidR="00895CCE" w:rsidRDefault="00D65E8D">
            <w:pPr>
              <w:pStyle w:val="En-tte"/>
              <w:tabs>
                <w:tab w:val="clear" w:pos="4536"/>
                <w:tab w:val="clear" w:pos="9072"/>
              </w:tabs>
              <w:jc w:val="center"/>
              <w:rPr>
                <w:rFonts w:ascii="Arial" w:hAnsi="Arial"/>
                <w:b/>
                <w:i/>
                <w:sz w:val="28"/>
                <w:szCs w:val="28"/>
              </w:rPr>
            </w:pPr>
            <w:r>
              <w:rPr>
                <w:rFonts w:ascii="Arial" w:hAnsi="Arial"/>
                <w:b/>
                <w:sz w:val="18"/>
                <w:szCs w:val="18"/>
              </w:rPr>
              <w:t>Consommation conventionnelle :</w:t>
            </w:r>
            <w:r>
              <w:rPr>
                <w:rFonts w:ascii="Arial" w:hAnsi="Arial"/>
                <w:i/>
              </w:rPr>
              <w:t>154 kWh</w:t>
            </w:r>
            <w:r>
              <w:rPr>
                <w:rFonts w:ascii="Arial" w:hAnsi="Arial"/>
                <w:i/>
                <w:vertAlign w:val="subscript"/>
              </w:rPr>
              <w:t>EP</w:t>
            </w:r>
            <w:r>
              <w:rPr>
                <w:rFonts w:ascii="Arial" w:hAnsi="Arial"/>
                <w:i/>
              </w:rPr>
              <w:t xml:space="preserve">/m².an </w:t>
            </w:r>
            <w:r>
              <w:br/>
            </w:r>
            <w:r>
              <w:rPr>
                <w:rFonts w:ascii="Arial" w:hAnsi="Arial"/>
                <w:sz w:val="16"/>
                <w:szCs w:val="16"/>
              </w:rPr>
              <w:t xml:space="preserve">sur la base d'estimations </w:t>
            </w:r>
            <w:r>
              <w:rPr>
                <w:rFonts w:ascii="Arial" w:hAnsi="Arial"/>
                <w:strike/>
                <w:sz w:val="16"/>
                <w:szCs w:val="16"/>
              </w:rPr>
              <w:t>à l'immeuble</w:t>
            </w:r>
            <w:r>
              <w:rPr>
                <w:rFonts w:ascii="Arial" w:hAnsi="Arial"/>
                <w:sz w:val="16"/>
                <w:szCs w:val="16"/>
              </w:rPr>
              <w:t xml:space="preserve"> / au logement</w:t>
            </w:r>
          </w:p>
        </w:tc>
        <w:tc>
          <w:tcPr>
            <w:tcW w:w="5400" w:type="dxa"/>
            <w:tcBorders>
              <w:top w:val="single" w:sz="4" w:space="0" w:color="auto"/>
              <w:left w:val="nil"/>
              <w:bottom w:val="single" w:sz="4" w:space="0" w:color="auto"/>
              <w:right w:val="nil"/>
            </w:tcBorders>
            <w:vAlign w:val="center"/>
          </w:tcPr>
          <w:p w:rsidR="00895CCE" w:rsidRDefault="00D65E8D">
            <w:pPr>
              <w:jc w:val="center"/>
              <w:rPr>
                <w:rFonts w:ascii="Arial" w:hAnsi="Arial"/>
                <w:b/>
                <w:sz w:val="28"/>
                <w:szCs w:val="28"/>
              </w:rPr>
            </w:pPr>
            <w:r>
              <w:rPr>
                <w:rFonts w:ascii="Arial" w:hAnsi="Arial"/>
                <w:b/>
                <w:sz w:val="18"/>
                <w:szCs w:val="18"/>
              </w:rPr>
              <w:t>Estimation des émissions :</w:t>
            </w:r>
            <w:r>
              <w:rPr>
                <w:rFonts w:ascii="Arial" w:hAnsi="Arial"/>
                <w:i/>
              </w:rPr>
              <w:t xml:space="preserve"> 36 kg</w:t>
            </w:r>
            <w:r>
              <w:rPr>
                <w:rFonts w:ascii="Arial" w:hAnsi="Arial"/>
                <w:i/>
                <w:vertAlign w:val="subscript"/>
              </w:rPr>
              <w:t xml:space="preserve"> éqCO2</w:t>
            </w:r>
            <w:r>
              <w:rPr>
                <w:rFonts w:ascii="Arial" w:hAnsi="Arial"/>
                <w:i/>
              </w:rPr>
              <w:t>/m².an</w:t>
            </w:r>
          </w:p>
        </w:tc>
      </w:tr>
      <w:tr w:rsidR="00895CCE">
        <w:trPr>
          <w:cantSplit/>
          <w:trHeight w:hRule="exact" w:val="4253"/>
        </w:trPr>
        <w:tc>
          <w:tcPr>
            <w:tcW w:w="5400" w:type="dxa"/>
            <w:tcBorders>
              <w:top w:val="single" w:sz="4" w:space="0" w:color="auto"/>
              <w:left w:val="nil"/>
              <w:bottom w:val="single" w:sz="4" w:space="0" w:color="auto"/>
              <w:right w:val="single" w:sz="4" w:space="0" w:color="auto"/>
            </w:tcBorders>
            <w:vAlign w:val="center"/>
          </w:tcPr>
          <w:p w:rsidR="00895CCE" w:rsidRDefault="00D65E8D">
            <w:pPr>
              <w:pStyle w:val="En-tte"/>
              <w:tabs>
                <w:tab w:val="clear" w:pos="4536"/>
                <w:tab w:val="clear" w:pos="9072"/>
              </w:tabs>
              <w:jc w:val="center"/>
              <w:rPr>
                <w:rFonts w:ascii="Arial" w:hAnsi="Arial"/>
              </w:rPr>
            </w:pPr>
            <w:r>
              <w:rPr>
                <w:noProof/>
              </w:rPr>
              <w:drawing>
                <wp:inline distT="0" distB="0" distL="0" distR="0">
                  <wp:extent cx="2929805" cy="26797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stretch>
                            <a:fillRect/>
                          </a:stretch>
                        </pic:blipFill>
                        <pic:spPr>
                          <a:xfrm>
                            <a:off x="0" y="0"/>
                            <a:ext cx="2929805" cy="2679700"/>
                          </a:xfrm>
                          <a:prstGeom prst="rect">
                            <a:avLst/>
                          </a:prstGeom>
                        </pic:spPr>
                      </pic:pic>
                    </a:graphicData>
                  </a:graphic>
                </wp:inline>
              </w:drawing>
            </w:r>
          </w:p>
        </w:tc>
        <w:tc>
          <w:tcPr>
            <w:tcW w:w="5400" w:type="dxa"/>
            <w:tcBorders>
              <w:top w:val="single" w:sz="4" w:space="0" w:color="auto"/>
              <w:left w:val="single" w:sz="4" w:space="0" w:color="auto"/>
              <w:bottom w:val="single" w:sz="4" w:space="0" w:color="auto"/>
              <w:right w:val="nil"/>
            </w:tcBorders>
            <w:vAlign w:val="center"/>
          </w:tcPr>
          <w:p w:rsidR="00895CCE" w:rsidRDefault="00D65E8D">
            <w:pPr>
              <w:pStyle w:val="En-tte"/>
              <w:tabs>
                <w:tab w:val="clear" w:pos="4536"/>
                <w:tab w:val="clear" w:pos="9072"/>
              </w:tabs>
              <w:jc w:val="center"/>
              <w:rPr>
                <w:rFonts w:ascii="Arial" w:hAnsi="Arial"/>
              </w:rPr>
            </w:pPr>
            <w:r>
              <w:rPr>
                <w:noProof/>
              </w:rPr>
              <w:drawing>
                <wp:inline distT="0" distB="0" distL="0" distR="0">
                  <wp:extent cx="2929805" cy="26797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cstate="print"/>
                          <a:stretch>
                            <a:fillRect/>
                          </a:stretch>
                        </pic:blipFill>
                        <pic:spPr>
                          <a:xfrm>
                            <a:off x="0" y="0"/>
                            <a:ext cx="2929805" cy="2679700"/>
                          </a:xfrm>
                          <a:prstGeom prst="rect">
                            <a:avLst/>
                          </a:prstGeom>
                        </pic:spPr>
                      </pic:pic>
                    </a:graphicData>
                  </a:graphic>
                </wp:inline>
              </w:drawing>
            </w:r>
          </w:p>
        </w:tc>
      </w:tr>
    </w:tbl>
    <w:p w:rsidR="00895CCE" w:rsidRDefault="00D65E8D">
      <w:pPr>
        <w:spacing w:after="80"/>
        <w:rPr>
          <w:rFonts w:ascii="Arial" w:hAnsi="Arial"/>
          <w:sz w:val="2"/>
          <w:szCs w:val="2"/>
        </w:rPr>
      </w:pPr>
      <w:r>
        <w:rPr>
          <w:rFonts w:ascii="Arial" w:hAnsi="Arial"/>
          <w:sz w:val="2"/>
          <w:szCs w:val="2"/>
        </w:rPr>
        <w:br w:type="page"/>
      </w:r>
      <w:r>
        <w:rPr>
          <w:rFonts w:ascii="Arial" w:hAnsi="Arial"/>
          <w:b/>
          <w:sz w:val="36"/>
          <w:szCs w:val="36"/>
        </w:rPr>
        <w:lastRenderedPageBreak/>
        <w:t xml:space="preserve">Diagnostic de performance énergétique </w:t>
      </w:r>
      <w:r>
        <w:rPr>
          <w:rFonts w:ascii="Arial" w:hAnsi="Arial"/>
          <w:b/>
          <w:sz w:val="20"/>
          <w:szCs w:val="20"/>
        </w:rPr>
        <w:t>– logement (6.1)</w:t>
      </w:r>
    </w:p>
    <w:p w:rsidR="00895CCE" w:rsidRDefault="00D65E8D">
      <w:pPr>
        <w:spacing w:after="240"/>
        <w:jc w:val="both"/>
        <w:rPr>
          <w:rFonts w:ascii="Arial" w:hAnsi="Arial"/>
          <w:b/>
          <w:sz w:val="22"/>
          <w:szCs w:val="22"/>
          <w:u w:val="single"/>
        </w:rPr>
      </w:pPr>
      <w:r>
        <w:rPr>
          <w:rFonts w:ascii="Arial" w:hAnsi="Arial"/>
          <w:b/>
          <w:sz w:val="22"/>
          <w:szCs w:val="22"/>
          <w:u w:val="single"/>
        </w:rPr>
        <w:t>Descriptif du logement et de ses équipements</w:t>
      </w:r>
    </w:p>
    <w:tbl>
      <w:tblPr>
        <w:tblW w:w="4914" w:type="pct"/>
        <w:tblInd w:w="108" w:type="dxa"/>
        <w:tblBorders>
          <w:top w:val="single" w:sz="4" w:space="0" w:color="auto"/>
          <w:left w:val="nil"/>
          <w:bottom w:val="single" w:sz="4" w:space="0" w:color="auto"/>
          <w:right w:val="nil"/>
          <w:insideH w:val="single" w:sz="4" w:space="0" w:color="auto"/>
          <w:insideV w:val="nil"/>
        </w:tblBorders>
        <w:tblLayout w:type="fixed"/>
        <w:tblLook w:val="01E0"/>
      </w:tblPr>
      <w:tblGrid>
        <w:gridCol w:w="2553"/>
        <w:gridCol w:w="2691"/>
        <w:gridCol w:w="2836"/>
        <w:gridCol w:w="2719"/>
      </w:tblGrid>
      <w:tr w:rsidR="00895CCE">
        <w:trPr>
          <w:trHeight w:val="70"/>
        </w:trPr>
        <w:tc>
          <w:tcPr>
            <w:tcW w:w="2428" w:type="pct"/>
            <w:gridSpan w:val="2"/>
            <w:tcBorders>
              <w:top w:val="single" w:sz="12" w:space="0" w:color="auto"/>
              <w:bottom w:val="single" w:sz="12" w:space="0" w:color="auto"/>
              <w:right w:val="single" w:sz="4" w:space="0" w:color="auto"/>
            </w:tcBorders>
            <w:vAlign w:val="center"/>
          </w:tcPr>
          <w:p w:rsidR="00895CCE" w:rsidRDefault="00D65E8D">
            <w:pPr>
              <w:pStyle w:val="Corpsdetexte3"/>
              <w:spacing w:after="0"/>
              <w:jc w:val="center"/>
              <w:rPr>
                <w:rFonts w:ascii="Arial" w:hAnsi="Arial"/>
                <w:sz w:val="16"/>
                <w:szCs w:val="16"/>
              </w:rPr>
            </w:pPr>
            <w:r>
              <w:rPr>
                <w:rFonts w:ascii="Arial" w:hAnsi="Arial"/>
                <w:sz w:val="16"/>
                <w:szCs w:val="16"/>
              </w:rPr>
              <w:t>Logement</w:t>
            </w:r>
          </w:p>
        </w:tc>
        <w:tc>
          <w:tcPr>
            <w:tcW w:w="1313" w:type="pct"/>
            <w:tcBorders>
              <w:top w:val="single" w:sz="12" w:space="0" w:color="auto"/>
              <w:left w:val="single" w:sz="4" w:space="0" w:color="auto"/>
              <w:bottom w:val="single" w:sz="12" w:space="0" w:color="auto"/>
              <w:right w:val="single" w:sz="4" w:space="0" w:color="auto"/>
            </w:tcBorders>
            <w:vAlign w:val="center"/>
          </w:tcPr>
          <w:p w:rsidR="00895CCE" w:rsidRDefault="00D65E8D">
            <w:pPr>
              <w:pStyle w:val="Corpsdetexte3"/>
              <w:spacing w:after="0"/>
              <w:jc w:val="center"/>
              <w:rPr>
                <w:rFonts w:ascii="Arial" w:hAnsi="Arial"/>
                <w:sz w:val="16"/>
                <w:szCs w:val="16"/>
              </w:rPr>
            </w:pPr>
            <w:r>
              <w:rPr>
                <w:rFonts w:ascii="Arial" w:hAnsi="Arial"/>
                <w:sz w:val="16"/>
                <w:szCs w:val="16"/>
              </w:rPr>
              <w:t>Chauffage et refroidissement</w:t>
            </w:r>
          </w:p>
        </w:tc>
        <w:tc>
          <w:tcPr>
            <w:tcW w:w="1259" w:type="pct"/>
            <w:tcBorders>
              <w:top w:val="single" w:sz="12" w:space="0" w:color="auto"/>
              <w:left w:val="single" w:sz="4" w:space="0" w:color="auto"/>
              <w:bottom w:val="single" w:sz="12" w:space="0" w:color="auto"/>
            </w:tcBorders>
            <w:vAlign w:val="center"/>
          </w:tcPr>
          <w:p w:rsidR="00895CCE" w:rsidRDefault="00D65E8D">
            <w:pPr>
              <w:pStyle w:val="Corpsdetexte3"/>
              <w:spacing w:after="0"/>
              <w:jc w:val="center"/>
              <w:rPr>
                <w:rFonts w:ascii="Arial" w:hAnsi="Arial"/>
                <w:sz w:val="16"/>
                <w:szCs w:val="16"/>
              </w:rPr>
            </w:pPr>
            <w:r>
              <w:rPr>
                <w:rFonts w:ascii="Arial" w:hAnsi="Arial"/>
                <w:sz w:val="16"/>
                <w:szCs w:val="16"/>
              </w:rPr>
              <w:t>Eau chaude sanitaire, ventilation</w:t>
            </w:r>
          </w:p>
        </w:tc>
      </w:tr>
      <w:tr w:rsidR="00895CCE">
        <w:tc>
          <w:tcPr>
            <w:tcW w:w="2428" w:type="pct"/>
            <w:gridSpan w:val="2"/>
            <w:tcBorders>
              <w:top w:val="single" w:sz="12" w:space="0" w:color="auto"/>
              <w:right w:val="single" w:sz="4" w:space="0" w:color="auto"/>
            </w:tcBorders>
          </w:tcPr>
          <w:p w:rsidR="00895CCE" w:rsidRDefault="00D65E8D">
            <w:pPr>
              <w:rPr>
                <w:rFonts w:ascii="Arial" w:hAnsi="Arial"/>
                <w:sz w:val="17"/>
                <w:szCs w:val="17"/>
              </w:rPr>
            </w:pPr>
            <w:r>
              <w:rPr>
                <w:rFonts w:ascii="Arial" w:hAnsi="Arial"/>
                <w:b/>
                <w:sz w:val="17"/>
                <w:szCs w:val="17"/>
              </w:rPr>
              <w:t>Murs :</w:t>
            </w:r>
            <w:r>
              <w:rPr>
                <w:rFonts w:ascii="Arial" w:hAnsi="Arial"/>
                <w:sz w:val="17"/>
                <w:szCs w:val="17"/>
              </w:rPr>
              <w:br/>
              <w:t>Murs en parpaings avec cloison brique</w:t>
            </w:r>
            <w:r>
              <w:br/>
            </w:r>
            <w:r>
              <w:rPr>
                <w:rFonts w:ascii="Arial" w:hAnsi="Arial"/>
                <w:sz w:val="17"/>
                <w:szCs w:val="17"/>
              </w:rPr>
              <w:t>Béton banché d'épaisseur 20 cm ou moin</w:t>
            </w:r>
            <w:r>
              <w:rPr>
                <w:rFonts w:ascii="Arial" w:hAnsi="Arial"/>
                <w:sz w:val="17"/>
                <w:szCs w:val="17"/>
              </w:rPr>
              <w:t>s donnant sur un garage avec isolation intérieure (réalisée entre 1948 et 1974)</w:t>
            </w:r>
            <w:r>
              <w:br/>
            </w:r>
            <w:r>
              <w:rPr>
                <w:rFonts w:ascii="Arial" w:hAnsi="Arial"/>
                <w:sz w:val="17"/>
                <w:szCs w:val="17"/>
              </w:rPr>
              <w:t>Mur en placoplatre isolé donnant sur un local non chauffé</w:t>
            </w:r>
          </w:p>
        </w:tc>
        <w:tc>
          <w:tcPr>
            <w:tcW w:w="1313" w:type="pct"/>
            <w:vMerge w:val="restart"/>
            <w:tcBorders>
              <w:top w:val="single" w:sz="12" w:space="0" w:color="auto"/>
              <w:left w:val="single" w:sz="4" w:space="0" w:color="auto"/>
              <w:right w:val="single" w:sz="4" w:space="0" w:color="auto"/>
            </w:tcBorders>
          </w:tcPr>
          <w:p w:rsidR="00895CCE" w:rsidRDefault="00D65E8D">
            <w:pPr>
              <w:rPr>
                <w:rFonts w:ascii="Arial" w:hAnsi="Arial"/>
                <w:sz w:val="17"/>
                <w:szCs w:val="17"/>
              </w:rPr>
            </w:pPr>
            <w:r>
              <w:rPr>
                <w:rFonts w:ascii="Arial" w:hAnsi="Arial"/>
                <w:b/>
                <w:sz w:val="17"/>
                <w:szCs w:val="17"/>
              </w:rPr>
              <w:t>Système de chauffage :</w:t>
            </w:r>
            <w:r>
              <w:rPr>
                <w:rFonts w:ascii="Arial" w:hAnsi="Arial"/>
                <w:sz w:val="17"/>
                <w:szCs w:val="17"/>
              </w:rPr>
              <w:br/>
              <w:t xml:space="preserve">Chaudière individuelle Gaz Naturel condensation installée après 2000 avec programmateur </w:t>
            </w:r>
          </w:p>
          <w:p w:rsidR="00895CCE" w:rsidRDefault="00D65E8D">
            <w:r>
              <w:br/>
            </w:r>
            <w:r>
              <w:rPr>
                <w:rFonts w:ascii="Arial" w:hAnsi="Arial"/>
                <w:b/>
                <w:sz w:val="17"/>
                <w:szCs w:val="17"/>
              </w:rPr>
              <w:t>Emett</w:t>
            </w:r>
            <w:r>
              <w:rPr>
                <w:rFonts w:ascii="Arial" w:hAnsi="Arial"/>
                <w:b/>
                <w:sz w:val="17"/>
                <w:szCs w:val="17"/>
              </w:rPr>
              <w:t>eurs:</w:t>
            </w:r>
            <w:r>
              <w:br/>
            </w:r>
            <w:r>
              <w:rPr>
                <w:rFonts w:ascii="Arial" w:hAnsi="Arial"/>
                <w:sz w:val="17"/>
                <w:szCs w:val="17"/>
              </w:rPr>
              <w:t>Radiateurs</w:t>
            </w:r>
          </w:p>
        </w:tc>
        <w:tc>
          <w:tcPr>
            <w:tcW w:w="1259" w:type="pct"/>
            <w:vMerge w:val="restart"/>
            <w:tcBorders>
              <w:top w:val="single" w:sz="12" w:space="0" w:color="auto"/>
              <w:left w:val="single" w:sz="4" w:space="0" w:color="auto"/>
            </w:tcBorders>
          </w:tcPr>
          <w:p w:rsidR="00895CCE" w:rsidRDefault="00D65E8D">
            <w:pPr>
              <w:rPr>
                <w:rFonts w:ascii="Arial" w:hAnsi="Arial"/>
                <w:sz w:val="17"/>
                <w:szCs w:val="17"/>
              </w:rPr>
            </w:pPr>
            <w:r>
              <w:rPr>
                <w:rFonts w:ascii="Arial" w:hAnsi="Arial"/>
                <w:b/>
                <w:sz w:val="16"/>
                <w:szCs w:val="16"/>
              </w:rPr>
              <w:t>Système de production d’ECS :</w:t>
            </w:r>
            <w:r>
              <w:rPr>
                <w:rFonts w:ascii="Arial" w:hAnsi="Arial"/>
                <w:sz w:val="17"/>
                <w:szCs w:val="17"/>
              </w:rPr>
              <w:br/>
              <w:t>Combiné au système: Chaudière individuelle Gaz Naturel condensation installée après 2000 avec programmateur</w:t>
            </w:r>
          </w:p>
        </w:tc>
      </w:tr>
      <w:tr w:rsidR="00895CCE">
        <w:tc>
          <w:tcPr>
            <w:tcW w:w="2428" w:type="pct"/>
            <w:gridSpan w:val="2"/>
            <w:tcBorders>
              <w:right w:val="single" w:sz="4" w:space="0" w:color="auto"/>
            </w:tcBorders>
          </w:tcPr>
          <w:p w:rsidR="00895CCE" w:rsidRDefault="00D65E8D">
            <w:pPr>
              <w:rPr>
                <w:rFonts w:ascii="Arial" w:hAnsi="Arial"/>
                <w:sz w:val="17"/>
                <w:szCs w:val="17"/>
              </w:rPr>
            </w:pPr>
            <w:r>
              <w:rPr>
                <w:rFonts w:ascii="Arial" w:hAnsi="Arial"/>
                <w:b/>
                <w:sz w:val="17"/>
                <w:szCs w:val="17"/>
              </w:rPr>
              <w:t>Toiture :</w:t>
            </w:r>
            <w:r>
              <w:rPr>
                <w:rFonts w:ascii="Arial" w:hAnsi="Arial"/>
                <w:sz w:val="17"/>
                <w:szCs w:val="17"/>
              </w:rPr>
              <w:br/>
              <w:t>Dalle béton donnant sur un comble faiblement ventilé avec isolation intérieure (5 cm)</w:t>
            </w:r>
          </w:p>
        </w:tc>
        <w:tc>
          <w:tcPr>
            <w:tcW w:w="2836" w:type="dxa"/>
            <w:vMerge/>
            <w:tcBorders>
              <w:top w:val="single" w:sz="12" w:space="0" w:color="auto"/>
              <w:left w:val="single" w:sz="4" w:space="0" w:color="auto"/>
              <w:right w:val="single" w:sz="4" w:space="0" w:color="auto"/>
            </w:tcBorders>
          </w:tcPr>
          <w:p w:rsidR="00895CCE" w:rsidRDefault="00895CCE">
            <w:pPr>
              <w:rPr>
                <w:rFonts w:ascii="Arial" w:hAnsi="Arial"/>
                <w:sz w:val="17"/>
                <w:szCs w:val="17"/>
              </w:rPr>
            </w:pPr>
          </w:p>
        </w:tc>
        <w:tc>
          <w:tcPr>
            <w:tcW w:w="2719" w:type="dxa"/>
            <w:vMerge/>
            <w:tcBorders>
              <w:top w:val="single" w:sz="12" w:space="0" w:color="auto"/>
              <w:left w:val="single" w:sz="4" w:space="0" w:color="auto"/>
            </w:tcBorders>
          </w:tcPr>
          <w:p w:rsidR="00895CCE" w:rsidRDefault="00895CCE">
            <w:pPr>
              <w:rPr>
                <w:rFonts w:ascii="Arial" w:hAnsi="Arial"/>
                <w:sz w:val="17"/>
                <w:szCs w:val="17"/>
              </w:rPr>
            </w:pPr>
          </w:p>
        </w:tc>
      </w:tr>
      <w:tr w:rsidR="00895CCE">
        <w:tc>
          <w:tcPr>
            <w:tcW w:w="2428" w:type="pct"/>
            <w:gridSpan w:val="2"/>
            <w:tcBorders>
              <w:bottom w:val="single" w:sz="4" w:space="0" w:color="auto"/>
              <w:right w:val="single" w:sz="4" w:space="0" w:color="auto"/>
            </w:tcBorders>
          </w:tcPr>
          <w:p w:rsidR="00895CCE" w:rsidRDefault="00D65E8D">
            <w:pPr>
              <w:rPr>
                <w:rFonts w:ascii="Arial" w:hAnsi="Arial"/>
                <w:sz w:val="17"/>
                <w:szCs w:val="17"/>
              </w:rPr>
            </w:pPr>
            <w:r>
              <w:rPr>
                <w:rFonts w:ascii="Arial" w:hAnsi="Arial"/>
                <w:b/>
                <w:sz w:val="17"/>
                <w:szCs w:val="17"/>
              </w:rPr>
              <w:t>Menuiseries :</w:t>
            </w:r>
            <w:r>
              <w:rPr>
                <w:rFonts w:ascii="Arial" w:hAnsi="Arial"/>
                <w:sz w:val="17"/>
                <w:szCs w:val="17"/>
              </w:rPr>
              <w:br/>
              <w:t>Porte(s) métal avec moins de 30% de double vitrage</w:t>
            </w:r>
            <w:r>
              <w:br/>
            </w:r>
            <w:r>
              <w:rPr>
                <w:rFonts w:ascii="Arial" w:hAnsi="Arial"/>
                <w:sz w:val="17"/>
                <w:szCs w:val="17"/>
              </w:rPr>
              <w:t>Porte(s) bois opaque pleine</w:t>
            </w:r>
            <w:r>
              <w:br/>
            </w:r>
            <w:r>
              <w:rPr>
                <w:rFonts w:ascii="Arial" w:hAnsi="Arial"/>
                <w:sz w:val="17"/>
                <w:szCs w:val="17"/>
              </w:rPr>
              <w:t>Fenêtres battantes bois, simple vitrage</w:t>
            </w:r>
            <w:r>
              <w:br/>
            </w:r>
            <w:r>
              <w:rPr>
                <w:rFonts w:ascii="Arial" w:hAnsi="Arial"/>
                <w:sz w:val="17"/>
                <w:szCs w:val="17"/>
              </w:rPr>
              <w:t>Fenêtres fixes bois, simple vitrage</w:t>
            </w:r>
            <w:r>
              <w:br/>
            </w:r>
            <w:r>
              <w:rPr>
                <w:rFonts w:ascii="Arial" w:hAnsi="Arial"/>
                <w:sz w:val="17"/>
                <w:szCs w:val="17"/>
              </w:rPr>
              <w:t>Portes-fenêtres battantes bois, simple vitrage</w:t>
            </w:r>
            <w:r>
              <w:br/>
            </w:r>
            <w:r>
              <w:rPr>
                <w:rFonts w:ascii="Arial" w:hAnsi="Arial"/>
                <w:sz w:val="17"/>
                <w:szCs w:val="17"/>
              </w:rPr>
              <w:t>Fenêtres battantes bois, simple vitrage</w:t>
            </w:r>
            <w:r>
              <w:br/>
            </w:r>
            <w:r>
              <w:rPr>
                <w:rFonts w:ascii="Arial" w:hAnsi="Arial"/>
                <w:sz w:val="17"/>
                <w:szCs w:val="17"/>
              </w:rPr>
              <w:t>Fenêtres battantes bois, simple vitrage</w:t>
            </w:r>
            <w:r>
              <w:br/>
            </w:r>
            <w:r>
              <w:rPr>
                <w:rFonts w:ascii="Arial" w:hAnsi="Arial"/>
                <w:sz w:val="17"/>
                <w:szCs w:val="17"/>
              </w:rPr>
              <w:t>Fenêtres battantes bois, simple vitrage</w:t>
            </w:r>
            <w:r>
              <w:br/>
            </w:r>
            <w:r>
              <w:rPr>
                <w:rFonts w:ascii="Arial" w:hAnsi="Arial"/>
                <w:sz w:val="17"/>
                <w:szCs w:val="17"/>
              </w:rPr>
              <w:t>Fenêtres battantes bois, simple vitrage</w:t>
            </w:r>
          </w:p>
        </w:tc>
        <w:tc>
          <w:tcPr>
            <w:tcW w:w="1313" w:type="pct"/>
            <w:tcBorders>
              <w:left w:val="single" w:sz="4" w:space="0" w:color="auto"/>
              <w:right w:val="single" w:sz="4" w:space="0" w:color="auto"/>
            </w:tcBorders>
            <w:vAlign w:val="center"/>
          </w:tcPr>
          <w:p w:rsidR="00895CCE" w:rsidRDefault="00D65E8D">
            <w:pPr>
              <w:rPr>
                <w:rFonts w:ascii="Arial" w:hAnsi="Arial"/>
                <w:sz w:val="17"/>
                <w:szCs w:val="17"/>
              </w:rPr>
            </w:pPr>
            <w:r>
              <w:rPr>
                <w:rFonts w:ascii="Arial" w:hAnsi="Arial"/>
                <w:b/>
                <w:sz w:val="17"/>
                <w:szCs w:val="17"/>
              </w:rPr>
              <w:t>Système de refroidissement :</w:t>
            </w:r>
            <w:r>
              <w:rPr>
                <w:rFonts w:ascii="Arial" w:hAnsi="Arial"/>
                <w:sz w:val="17"/>
                <w:szCs w:val="17"/>
              </w:rPr>
              <w:t xml:space="preserve"> Néant</w:t>
            </w:r>
          </w:p>
        </w:tc>
        <w:tc>
          <w:tcPr>
            <w:tcW w:w="1259" w:type="pct"/>
            <w:tcBorders>
              <w:left w:val="single" w:sz="4" w:space="0" w:color="auto"/>
            </w:tcBorders>
            <w:vAlign w:val="center"/>
          </w:tcPr>
          <w:p w:rsidR="00895CCE" w:rsidRDefault="00D65E8D">
            <w:pPr>
              <w:rPr>
                <w:rFonts w:ascii="Arial" w:hAnsi="Arial"/>
                <w:sz w:val="17"/>
                <w:szCs w:val="17"/>
              </w:rPr>
            </w:pPr>
            <w:r>
              <w:rPr>
                <w:rFonts w:ascii="Arial" w:hAnsi="Arial"/>
                <w:b/>
                <w:sz w:val="17"/>
                <w:szCs w:val="17"/>
              </w:rPr>
              <w:t>Système de ventilation :</w:t>
            </w:r>
            <w:r>
              <w:rPr>
                <w:rFonts w:ascii="Arial" w:hAnsi="Arial"/>
                <w:sz w:val="17"/>
                <w:szCs w:val="17"/>
              </w:rPr>
              <w:br/>
              <w:t>Naturelle par ouverture des fenêtres</w:t>
            </w:r>
          </w:p>
        </w:tc>
      </w:tr>
      <w:tr w:rsidR="00895CCE">
        <w:tc>
          <w:tcPr>
            <w:tcW w:w="2428" w:type="pct"/>
            <w:gridSpan w:val="2"/>
            <w:tcBorders>
              <w:bottom w:val="single" w:sz="12" w:space="0" w:color="auto"/>
              <w:right w:val="single" w:sz="4" w:space="0" w:color="auto"/>
            </w:tcBorders>
          </w:tcPr>
          <w:p w:rsidR="00895CCE" w:rsidRDefault="00D65E8D">
            <w:pPr>
              <w:rPr>
                <w:rFonts w:ascii="Arial" w:hAnsi="Arial"/>
                <w:sz w:val="17"/>
                <w:szCs w:val="17"/>
              </w:rPr>
            </w:pPr>
            <w:r>
              <w:rPr>
                <w:rFonts w:ascii="Arial" w:hAnsi="Arial"/>
                <w:b/>
                <w:sz w:val="17"/>
                <w:szCs w:val="17"/>
              </w:rPr>
              <w:t>Plancher bas :</w:t>
            </w:r>
            <w:r>
              <w:rPr>
                <w:rFonts w:ascii="Arial" w:hAnsi="Arial"/>
                <w:sz w:val="17"/>
                <w:szCs w:val="17"/>
              </w:rPr>
              <w:br/>
              <w:t>Dalle béton donnant sur</w:t>
            </w:r>
            <w:r>
              <w:rPr>
                <w:rFonts w:ascii="Arial" w:hAnsi="Arial"/>
                <w:sz w:val="17"/>
                <w:szCs w:val="17"/>
              </w:rPr>
              <w:t xml:space="preserve"> un terre-plein avec isolation intrinsèque ou en sous-face</w:t>
            </w:r>
          </w:p>
        </w:tc>
        <w:tc>
          <w:tcPr>
            <w:tcW w:w="2572" w:type="pct"/>
            <w:gridSpan w:val="2"/>
            <w:tcBorders>
              <w:left w:val="single" w:sz="4" w:space="0" w:color="auto"/>
              <w:bottom w:val="single" w:sz="12" w:space="0" w:color="auto"/>
            </w:tcBorders>
            <w:vAlign w:val="center"/>
          </w:tcPr>
          <w:p w:rsidR="00895CCE" w:rsidRDefault="00D65E8D">
            <w:pPr>
              <w:rPr>
                <w:rFonts w:ascii="Arial" w:hAnsi="Arial"/>
                <w:sz w:val="17"/>
                <w:szCs w:val="17"/>
              </w:rPr>
            </w:pPr>
            <w:r>
              <w:rPr>
                <w:rFonts w:ascii="Arial" w:hAnsi="Arial"/>
                <w:b/>
                <w:sz w:val="17"/>
                <w:szCs w:val="17"/>
              </w:rPr>
              <w:t>Rapport d’entretien ou d’inspection des chaudières joint :</w:t>
            </w:r>
            <w:r>
              <w:rPr>
                <w:rFonts w:ascii="Arial" w:hAnsi="Arial"/>
                <w:sz w:val="17"/>
                <w:szCs w:val="17"/>
              </w:rPr>
              <w:br/>
              <w:t>Néant</w:t>
            </w:r>
          </w:p>
        </w:tc>
      </w:tr>
      <w:tr w:rsidR="00895CCE">
        <w:trPr>
          <w:trHeight w:val="223"/>
        </w:trPr>
        <w:tc>
          <w:tcPr>
            <w:tcW w:w="1182" w:type="pct"/>
            <w:tcBorders>
              <w:top w:val="single" w:sz="12" w:space="0" w:color="auto"/>
              <w:bottom w:val="single" w:sz="4" w:space="0" w:color="auto"/>
            </w:tcBorders>
            <w:vAlign w:val="center"/>
          </w:tcPr>
          <w:p w:rsidR="00895CCE" w:rsidRDefault="00D65E8D">
            <w:pPr>
              <w:rPr>
                <w:rFonts w:ascii="Arial" w:hAnsi="Arial"/>
                <w:b/>
                <w:sz w:val="18"/>
                <w:szCs w:val="18"/>
              </w:rPr>
            </w:pPr>
            <w:r>
              <w:rPr>
                <w:rFonts w:ascii="Arial" w:hAnsi="Arial"/>
                <w:b/>
                <w:sz w:val="16"/>
                <w:szCs w:val="16"/>
              </w:rPr>
              <w:t>Énergies renouvelables</w:t>
            </w:r>
          </w:p>
        </w:tc>
        <w:tc>
          <w:tcPr>
            <w:tcW w:w="3818" w:type="pct"/>
            <w:gridSpan w:val="3"/>
            <w:tcBorders>
              <w:top w:val="single" w:sz="12" w:space="0" w:color="auto"/>
              <w:bottom w:val="single" w:sz="4" w:space="0" w:color="auto"/>
            </w:tcBorders>
            <w:vAlign w:val="center"/>
          </w:tcPr>
          <w:p w:rsidR="00895CCE" w:rsidRDefault="00D65E8D">
            <w:pPr>
              <w:jc w:val="right"/>
              <w:rPr>
                <w:rFonts w:ascii="Arial" w:hAnsi="Arial"/>
                <w:sz w:val="17"/>
                <w:szCs w:val="17"/>
              </w:rPr>
            </w:pPr>
            <w:r>
              <w:rPr>
                <w:rFonts w:ascii="Arial" w:hAnsi="Arial"/>
                <w:sz w:val="17"/>
                <w:szCs w:val="17"/>
              </w:rPr>
              <w:t>Quantité d'énergie d'origine renouvelable : 0 kWh</w:t>
            </w:r>
            <w:r>
              <w:rPr>
                <w:rFonts w:ascii="Arial" w:hAnsi="Arial"/>
                <w:sz w:val="17"/>
                <w:szCs w:val="17"/>
                <w:vertAlign w:val="subscript"/>
              </w:rPr>
              <w:t>EP</w:t>
            </w:r>
            <w:r>
              <w:rPr>
                <w:rFonts w:ascii="Arial" w:hAnsi="Arial"/>
                <w:sz w:val="17"/>
                <w:szCs w:val="17"/>
              </w:rPr>
              <w:t>/m².an</w:t>
            </w:r>
          </w:p>
        </w:tc>
      </w:tr>
      <w:tr w:rsidR="00895CCE">
        <w:trPr>
          <w:trHeight w:val="223"/>
        </w:trPr>
        <w:tc>
          <w:tcPr>
            <w:tcW w:w="5000" w:type="pct"/>
            <w:gridSpan w:val="4"/>
            <w:tcBorders>
              <w:top w:val="single" w:sz="4" w:space="0" w:color="auto"/>
            </w:tcBorders>
            <w:vAlign w:val="center"/>
          </w:tcPr>
          <w:p w:rsidR="00895CCE" w:rsidRDefault="00D65E8D">
            <w:pPr>
              <w:rPr>
                <w:rFonts w:ascii="Arial" w:hAnsi="Arial"/>
                <w:sz w:val="17"/>
                <w:szCs w:val="17"/>
              </w:rPr>
            </w:pPr>
            <w:r>
              <w:rPr>
                <w:rFonts w:ascii="Arial" w:hAnsi="Arial"/>
                <w:sz w:val="17"/>
                <w:szCs w:val="17"/>
              </w:rPr>
              <w:t xml:space="preserve">Type d’équipements présents utilisant des </w:t>
            </w:r>
            <w:r>
              <w:rPr>
                <w:rFonts w:ascii="Arial" w:hAnsi="Arial"/>
                <w:sz w:val="17"/>
                <w:szCs w:val="17"/>
              </w:rPr>
              <w:t>énergies renouvelables :  Néant</w:t>
            </w:r>
          </w:p>
        </w:tc>
      </w:tr>
    </w:tbl>
    <w:p w:rsidR="00895CCE" w:rsidRDefault="00895CCE">
      <w:pPr>
        <w:jc w:val="both"/>
        <w:rPr>
          <w:rFonts w:ascii="Arial" w:hAnsi="Arial"/>
          <w:sz w:val="17"/>
          <w:szCs w:val="17"/>
        </w:rPr>
      </w:pPr>
    </w:p>
    <w:tbl>
      <w:tblPr>
        <w:tblW w:w="10800" w:type="dxa"/>
        <w:tblInd w:w="108" w:type="dxa"/>
        <w:tblBorders>
          <w:top w:val="nil"/>
          <w:left w:val="nil"/>
          <w:bottom w:val="nil"/>
          <w:right w:val="nil"/>
          <w:insideH w:val="single" w:sz="4" w:space="0" w:color="auto"/>
          <w:insideV w:val="nil"/>
        </w:tblBorders>
        <w:tblLook w:val="01E0"/>
      </w:tblPr>
      <w:tblGrid>
        <w:gridCol w:w="5400"/>
        <w:gridCol w:w="5400"/>
      </w:tblGrid>
      <w:tr w:rsidR="00895CCE">
        <w:tc>
          <w:tcPr>
            <w:tcW w:w="5400" w:type="dxa"/>
            <w:shd w:val="clear" w:color="auto" w:fill="auto"/>
          </w:tcPr>
          <w:p w:rsidR="00895CCE" w:rsidRDefault="00D65E8D">
            <w:pPr>
              <w:spacing w:before="120"/>
              <w:rPr>
                <w:rFonts w:ascii="Arial" w:hAnsi="Arial"/>
                <w:b/>
                <w:sz w:val="16"/>
                <w:szCs w:val="16"/>
                <w:u w:val="single"/>
              </w:rPr>
            </w:pPr>
            <w:r>
              <w:rPr>
                <w:rFonts w:ascii="Arial" w:hAnsi="Arial"/>
                <w:b/>
                <w:sz w:val="16"/>
                <w:szCs w:val="16"/>
                <w:u w:val="single"/>
              </w:rPr>
              <w:t>Pourquoi un diagnostic</w:t>
            </w:r>
          </w:p>
          <w:p w:rsidR="00895CCE" w:rsidRDefault="00D65E8D">
            <w:pPr>
              <w:jc w:val="both"/>
              <w:rPr>
                <w:rFonts w:ascii="Arial" w:hAnsi="Arial"/>
                <w:sz w:val="16"/>
                <w:szCs w:val="16"/>
              </w:rPr>
            </w:pPr>
            <w:r>
              <w:rPr>
                <w:rFonts w:ascii="Arial" w:hAnsi="Arial"/>
                <w:sz w:val="16"/>
                <w:szCs w:val="16"/>
              </w:rPr>
              <w:t>• Pour informer le futur locataire ou acheteur ;</w:t>
            </w:r>
          </w:p>
          <w:p w:rsidR="00895CCE" w:rsidRDefault="00D65E8D">
            <w:pPr>
              <w:jc w:val="both"/>
              <w:rPr>
                <w:rFonts w:ascii="Arial" w:hAnsi="Arial"/>
                <w:sz w:val="16"/>
                <w:szCs w:val="16"/>
              </w:rPr>
            </w:pPr>
            <w:r>
              <w:rPr>
                <w:rFonts w:ascii="Arial" w:hAnsi="Arial"/>
                <w:sz w:val="16"/>
                <w:szCs w:val="16"/>
              </w:rPr>
              <w:t>• Pour comparer différents logements entre eux ;</w:t>
            </w:r>
          </w:p>
          <w:p w:rsidR="00895CCE" w:rsidRDefault="00D65E8D">
            <w:pPr>
              <w:jc w:val="both"/>
              <w:rPr>
                <w:rFonts w:ascii="Arial" w:hAnsi="Arial"/>
                <w:sz w:val="16"/>
                <w:szCs w:val="16"/>
              </w:rPr>
            </w:pPr>
            <w:r>
              <w:rPr>
                <w:rFonts w:ascii="Arial" w:hAnsi="Arial"/>
                <w:sz w:val="16"/>
                <w:szCs w:val="16"/>
              </w:rPr>
              <w:t>• Pour inciter à effectuer des travaux d’économie d’énergie et contribuer à la réduction des émission</w:t>
            </w:r>
            <w:r>
              <w:rPr>
                <w:rFonts w:ascii="Arial" w:hAnsi="Arial"/>
                <w:sz w:val="16"/>
                <w:szCs w:val="16"/>
              </w:rPr>
              <w:t>s de gaz à effet de serre.</w:t>
            </w:r>
          </w:p>
          <w:p w:rsidR="00895CCE" w:rsidRDefault="00D65E8D">
            <w:pPr>
              <w:spacing w:before="120"/>
              <w:rPr>
                <w:rFonts w:ascii="Arial" w:hAnsi="Arial"/>
                <w:b/>
                <w:sz w:val="16"/>
                <w:szCs w:val="16"/>
                <w:u w:val="single"/>
              </w:rPr>
            </w:pPr>
            <w:r>
              <w:rPr>
                <w:rFonts w:ascii="Arial" w:hAnsi="Arial"/>
                <w:b/>
                <w:sz w:val="16"/>
                <w:szCs w:val="16"/>
                <w:u w:val="single"/>
              </w:rPr>
              <w:t>Consommation conventionnelle</w:t>
            </w:r>
          </w:p>
          <w:p w:rsidR="00895CCE" w:rsidRDefault="00D65E8D">
            <w:pPr>
              <w:jc w:val="both"/>
              <w:rPr>
                <w:rFonts w:ascii="Arial" w:hAnsi="Arial"/>
                <w:sz w:val="16"/>
                <w:szCs w:val="16"/>
              </w:rPr>
            </w:pPr>
            <w:r>
              <w:rPr>
                <w:rFonts w:ascii="Arial" w:hAnsi="Arial"/>
                <w:sz w:val="16"/>
                <w:szCs w:val="16"/>
              </w:rPr>
              <w:t>Ces consommations sont dites conventionnelles car calculées pour des conditions d’usage fixées (on considère que les occupants les utilisent suivant des conditions standard), et pour des conditions cl</w:t>
            </w:r>
            <w:r>
              <w:rPr>
                <w:rFonts w:ascii="Arial" w:hAnsi="Arial"/>
                <w:sz w:val="16"/>
                <w:szCs w:val="16"/>
              </w:rPr>
              <w:t>imatiques moyennes du lieu.</w:t>
            </w:r>
          </w:p>
          <w:p w:rsidR="00895CCE" w:rsidRDefault="00D65E8D">
            <w:pPr>
              <w:jc w:val="both"/>
              <w:rPr>
                <w:rFonts w:ascii="Arial" w:hAnsi="Arial"/>
                <w:sz w:val="16"/>
                <w:szCs w:val="16"/>
              </w:rPr>
            </w:pPr>
            <w:r>
              <w:rPr>
                <w:rFonts w:ascii="Arial" w:hAnsi="Arial"/>
                <w:sz w:val="16"/>
                <w:szCs w:val="16"/>
              </w:rPr>
              <w:t>Il peut donc apparaître des divergences importantes entre les factures d'énergie que vous payez et la consommation conventionnelle pour plusieurs raisons : suivant la rigueur de l’hiver ou le comportement réellement constaté des</w:t>
            </w:r>
            <w:r>
              <w:rPr>
                <w:rFonts w:ascii="Arial" w:hAnsi="Arial"/>
                <w:sz w:val="16"/>
                <w:szCs w:val="16"/>
              </w:rPr>
              <w:t xml:space="preserve"> occupants, qui peuvent s’écarter fortement de celui choisi dans les conditions standard.</w:t>
            </w:r>
          </w:p>
          <w:p w:rsidR="00895CCE" w:rsidRDefault="00D65E8D">
            <w:pPr>
              <w:spacing w:before="120"/>
              <w:rPr>
                <w:rFonts w:ascii="Arial" w:hAnsi="Arial"/>
                <w:b/>
                <w:sz w:val="16"/>
                <w:szCs w:val="16"/>
                <w:u w:val="single"/>
              </w:rPr>
            </w:pPr>
            <w:r>
              <w:rPr>
                <w:rFonts w:ascii="Arial" w:hAnsi="Arial"/>
                <w:b/>
                <w:sz w:val="16"/>
                <w:szCs w:val="16"/>
                <w:u w:val="single"/>
              </w:rPr>
              <w:t>Conditions standard</w:t>
            </w:r>
          </w:p>
          <w:p w:rsidR="00895CCE" w:rsidRDefault="00D65E8D">
            <w:pPr>
              <w:jc w:val="both"/>
              <w:rPr>
                <w:rFonts w:ascii="Arial" w:hAnsi="Arial"/>
                <w:sz w:val="16"/>
                <w:szCs w:val="16"/>
              </w:rPr>
            </w:pPr>
            <w:r>
              <w:rPr>
                <w:rFonts w:ascii="Arial" w:hAnsi="Arial"/>
                <w:sz w:val="16"/>
                <w:szCs w:val="16"/>
              </w:rPr>
              <w:t>Les conditions standard portent sur le mode de chauffage (températures de chauffe respectives de jour et de nuit, périodes de vacance du logement)</w:t>
            </w:r>
            <w:r>
              <w:rPr>
                <w:rFonts w:ascii="Arial" w:hAnsi="Arial"/>
                <w:sz w:val="16"/>
                <w:szCs w:val="16"/>
              </w:rPr>
              <w:t>, le nombre d’occupants et leur consommation d’eau chaude, la rigueur du climat local (température de l’air et de l’eau potable à l’extérieur, durée et intensité de l’ensoleillement). Ces conditions standard servent d’hypothèses de base aux méthodes de cal</w:t>
            </w:r>
            <w:r>
              <w:rPr>
                <w:rFonts w:ascii="Arial" w:hAnsi="Arial"/>
                <w:sz w:val="16"/>
                <w:szCs w:val="16"/>
              </w:rPr>
              <w:t>cul. Certains de ces paramètres font l’objet de conventions unifiées entre les méthodes de calcul.</w:t>
            </w:r>
          </w:p>
          <w:p w:rsidR="00895CCE" w:rsidRDefault="00D65E8D">
            <w:pPr>
              <w:spacing w:before="120"/>
              <w:rPr>
                <w:rFonts w:ascii="Arial" w:hAnsi="Arial"/>
                <w:b/>
                <w:sz w:val="16"/>
                <w:szCs w:val="16"/>
                <w:u w:val="single"/>
              </w:rPr>
            </w:pPr>
            <w:r>
              <w:rPr>
                <w:rFonts w:ascii="Arial" w:hAnsi="Arial"/>
                <w:b/>
                <w:sz w:val="16"/>
                <w:szCs w:val="16"/>
                <w:u w:val="single"/>
              </w:rPr>
              <w:t>Constitution des étiquettes</w:t>
            </w:r>
          </w:p>
          <w:p w:rsidR="00895CCE" w:rsidRDefault="00D65E8D">
            <w:pPr>
              <w:jc w:val="both"/>
              <w:rPr>
                <w:rFonts w:ascii="Arial" w:hAnsi="Arial"/>
                <w:sz w:val="16"/>
                <w:szCs w:val="16"/>
              </w:rPr>
            </w:pPr>
            <w:r>
              <w:rPr>
                <w:rFonts w:ascii="Arial" w:hAnsi="Arial"/>
                <w:sz w:val="16"/>
                <w:szCs w:val="16"/>
              </w:rPr>
              <w:t xml:space="preserve">La consommation conventionnelle indiquée sur l’étiquette énergie est obtenue en déduisant de la consommation d’énergie calculée, </w:t>
            </w:r>
            <w:r>
              <w:rPr>
                <w:rFonts w:ascii="Arial" w:hAnsi="Arial"/>
                <w:sz w:val="16"/>
                <w:szCs w:val="16"/>
              </w:rPr>
              <w:t>la consommation d’énergie issue éventuellement d’installations solaires thermiques ou pour le solaire photovoltaïque, la partie d’énergie photovoltaïque utilisée dans la partie privative du lot.</w:t>
            </w:r>
          </w:p>
          <w:p w:rsidR="00895CCE" w:rsidRDefault="00895CCE">
            <w:pPr>
              <w:rPr>
                <w:sz w:val="16"/>
                <w:szCs w:val="16"/>
              </w:rPr>
            </w:pPr>
          </w:p>
        </w:tc>
        <w:tc>
          <w:tcPr>
            <w:tcW w:w="5400" w:type="dxa"/>
            <w:shd w:val="clear" w:color="auto" w:fill="auto"/>
          </w:tcPr>
          <w:p w:rsidR="00895CCE" w:rsidRDefault="00D65E8D">
            <w:pPr>
              <w:spacing w:before="120"/>
              <w:rPr>
                <w:rFonts w:ascii="Arial" w:hAnsi="Arial"/>
                <w:b/>
                <w:sz w:val="16"/>
                <w:szCs w:val="16"/>
                <w:u w:val="single"/>
              </w:rPr>
            </w:pPr>
            <w:r>
              <w:rPr>
                <w:rFonts w:ascii="Arial" w:hAnsi="Arial"/>
                <w:b/>
                <w:sz w:val="16"/>
                <w:szCs w:val="16"/>
                <w:u w:val="single"/>
              </w:rPr>
              <w:t>Énergie finale et énergie primaire</w:t>
            </w:r>
          </w:p>
          <w:p w:rsidR="00895CCE" w:rsidRDefault="00D65E8D">
            <w:pPr>
              <w:jc w:val="both"/>
              <w:rPr>
                <w:rFonts w:ascii="Arial" w:hAnsi="Arial"/>
                <w:sz w:val="16"/>
                <w:szCs w:val="16"/>
              </w:rPr>
            </w:pPr>
            <w:r>
              <w:rPr>
                <w:rFonts w:ascii="Arial" w:hAnsi="Arial"/>
                <w:sz w:val="16"/>
                <w:szCs w:val="16"/>
              </w:rPr>
              <w:t xml:space="preserve">L’énergie finale est </w:t>
            </w:r>
            <w:r>
              <w:rPr>
                <w:rFonts w:ascii="Arial" w:hAnsi="Arial"/>
                <w:sz w:val="16"/>
                <w:szCs w:val="16"/>
              </w:rPr>
              <w:t>l’énergie que vous utilisez chez vous (gaz, électricité, fioul domestique, bois, etc.). Pour que vous disposiez de ces énergies, il aura fallu les extraire, les distribuer, les stocker, les produire, et donc dépenser plus d’énergie que celle que vous utili</w:t>
            </w:r>
            <w:r>
              <w:rPr>
                <w:rFonts w:ascii="Arial" w:hAnsi="Arial"/>
                <w:sz w:val="16"/>
                <w:szCs w:val="16"/>
              </w:rPr>
              <w:t>sez en bout de course.</w:t>
            </w:r>
          </w:p>
          <w:p w:rsidR="00895CCE" w:rsidRDefault="00D65E8D">
            <w:pPr>
              <w:jc w:val="both"/>
              <w:rPr>
                <w:rFonts w:ascii="Arial" w:hAnsi="Arial"/>
                <w:sz w:val="16"/>
                <w:szCs w:val="16"/>
              </w:rPr>
            </w:pPr>
            <w:r>
              <w:rPr>
                <w:rFonts w:ascii="Arial" w:hAnsi="Arial"/>
                <w:sz w:val="16"/>
                <w:szCs w:val="16"/>
              </w:rPr>
              <w:t>L’énergie primaire est le total de toutes ces énergies consommées.</w:t>
            </w:r>
          </w:p>
          <w:p w:rsidR="00895CCE" w:rsidRDefault="00895CCE">
            <w:pPr>
              <w:jc w:val="both"/>
              <w:rPr>
                <w:rFonts w:ascii="Arial" w:hAnsi="Arial"/>
                <w:sz w:val="16"/>
                <w:szCs w:val="16"/>
              </w:rPr>
            </w:pPr>
          </w:p>
          <w:p w:rsidR="00895CCE" w:rsidRDefault="00D65E8D">
            <w:pPr>
              <w:spacing w:before="120"/>
              <w:rPr>
                <w:rFonts w:ascii="Arial" w:hAnsi="Arial"/>
                <w:b/>
                <w:sz w:val="16"/>
                <w:szCs w:val="16"/>
                <w:u w:val="single"/>
              </w:rPr>
            </w:pPr>
            <w:r>
              <w:rPr>
                <w:rFonts w:ascii="Arial" w:hAnsi="Arial"/>
                <w:b/>
                <w:sz w:val="16"/>
                <w:szCs w:val="16"/>
                <w:u w:val="single"/>
              </w:rPr>
              <w:t>Usages recensés</w:t>
            </w:r>
          </w:p>
          <w:p w:rsidR="00895CCE" w:rsidRDefault="00D65E8D">
            <w:pPr>
              <w:jc w:val="both"/>
              <w:rPr>
                <w:rFonts w:ascii="Arial" w:hAnsi="Arial"/>
                <w:sz w:val="16"/>
                <w:szCs w:val="16"/>
              </w:rPr>
            </w:pPr>
            <w:r>
              <w:rPr>
                <w:rFonts w:ascii="Arial" w:hAnsi="Arial"/>
                <w:sz w:val="16"/>
                <w:szCs w:val="16"/>
              </w:rPr>
              <w:t>Dans les cas où une méthode de calcul est utilisée, elle ne relève pas l’ensemble des consommations d’énergie, mais seulement celles nécessaires pour</w:t>
            </w:r>
            <w:r>
              <w:rPr>
                <w:rFonts w:ascii="Arial" w:hAnsi="Arial"/>
                <w:sz w:val="16"/>
                <w:szCs w:val="16"/>
              </w:rPr>
              <w:t xml:space="preserve"> le chauffage, la production d’eau chaude sanitaire et le refroidissement du logement.</w:t>
            </w:r>
          </w:p>
          <w:p w:rsidR="00895CCE" w:rsidRDefault="00D65E8D">
            <w:pPr>
              <w:jc w:val="both"/>
              <w:rPr>
                <w:rFonts w:ascii="Arial" w:hAnsi="Arial"/>
                <w:sz w:val="16"/>
                <w:szCs w:val="16"/>
              </w:rPr>
            </w:pPr>
            <w:r>
              <w:rPr>
                <w:rFonts w:ascii="Arial" w:hAnsi="Arial"/>
                <w:sz w:val="16"/>
                <w:szCs w:val="16"/>
              </w:rPr>
              <w:t>Certaines consommations comme l’éclairage, la cuisson ou l’électroménager ne sont pas comptabilisées dans les étiquettes énergie et climat des bâtiments.</w:t>
            </w:r>
          </w:p>
          <w:p w:rsidR="00895CCE" w:rsidRDefault="00895CCE">
            <w:pPr>
              <w:jc w:val="both"/>
              <w:rPr>
                <w:rFonts w:ascii="Arial" w:hAnsi="Arial"/>
                <w:sz w:val="16"/>
                <w:szCs w:val="16"/>
              </w:rPr>
            </w:pPr>
          </w:p>
          <w:p w:rsidR="00895CCE" w:rsidRDefault="00D65E8D">
            <w:pPr>
              <w:jc w:val="both"/>
              <w:rPr>
                <w:rFonts w:ascii="Arial" w:hAnsi="Arial"/>
                <w:sz w:val="16"/>
                <w:szCs w:val="16"/>
              </w:rPr>
            </w:pPr>
            <w:r>
              <w:rPr>
                <w:rFonts w:ascii="Arial" w:hAnsi="Arial"/>
                <w:b/>
                <w:sz w:val="16"/>
                <w:szCs w:val="16"/>
                <w:u w:val="single"/>
              </w:rPr>
              <w:t>Variations des</w:t>
            </w:r>
            <w:r>
              <w:rPr>
                <w:rFonts w:ascii="Arial" w:hAnsi="Arial"/>
                <w:b/>
                <w:sz w:val="16"/>
                <w:szCs w:val="16"/>
                <w:u w:val="single"/>
              </w:rPr>
              <w:t xml:space="preserve"> conventions de calcul et des prix de l’énergie</w:t>
            </w:r>
          </w:p>
          <w:p w:rsidR="00895CCE" w:rsidRDefault="00D65E8D">
            <w:pPr>
              <w:jc w:val="both"/>
              <w:rPr>
                <w:rFonts w:ascii="Arial" w:hAnsi="Arial"/>
                <w:sz w:val="16"/>
                <w:szCs w:val="16"/>
              </w:rPr>
            </w:pPr>
            <w:r>
              <w:rPr>
                <w:rFonts w:ascii="Arial" w:hAnsi="Arial"/>
                <w:sz w:val="16"/>
                <w:szCs w:val="16"/>
              </w:rPr>
              <w:t>Le calcul des consommations et des frais d’énergie fait intervenir des valeurs qui varient sensiblement dans le temps.</w:t>
            </w:r>
          </w:p>
          <w:p w:rsidR="00895CCE" w:rsidRDefault="00D65E8D">
            <w:pPr>
              <w:jc w:val="both"/>
              <w:rPr>
                <w:rFonts w:ascii="Arial" w:hAnsi="Arial"/>
                <w:sz w:val="16"/>
                <w:szCs w:val="16"/>
              </w:rPr>
            </w:pPr>
            <w:r>
              <w:rPr>
                <w:rFonts w:ascii="Arial" w:hAnsi="Arial"/>
                <w:sz w:val="16"/>
                <w:szCs w:val="16"/>
              </w:rPr>
              <w:t>La mention « prix de l’énergie en date du… » indique la date de l’arrêté en vigueur au mo</w:t>
            </w:r>
            <w:r>
              <w:rPr>
                <w:rFonts w:ascii="Arial" w:hAnsi="Arial"/>
                <w:sz w:val="16"/>
                <w:szCs w:val="16"/>
              </w:rPr>
              <w:t>ment de l’établissement du diagnostic.</w:t>
            </w:r>
          </w:p>
          <w:p w:rsidR="00895CCE" w:rsidRDefault="00D65E8D">
            <w:pPr>
              <w:jc w:val="both"/>
              <w:rPr>
                <w:rFonts w:ascii="Arial" w:hAnsi="Arial"/>
                <w:sz w:val="16"/>
                <w:szCs w:val="16"/>
              </w:rPr>
            </w:pPr>
            <w:r>
              <w:rPr>
                <w:rFonts w:ascii="Arial" w:hAnsi="Arial"/>
                <w:sz w:val="16"/>
                <w:szCs w:val="16"/>
              </w:rPr>
              <w:t>Elle reflète les prix moyens des énergies que l’Observatoire de l’Énergie constate au niveau national.</w:t>
            </w:r>
          </w:p>
          <w:p w:rsidR="00895CCE" w:rsidRDefault="00895CCE">
            <w:pPr>
              <w:jc w:val="both"/>
              <w:rPr>
                <w:rFonts w:ascii="Arial" w:hAnsi="Arial"/>
                <w:sz w:val="16"/>
                <w:szCs w:val="16"/>
              </w:rPr>
            </w:pPr>
          </w:p>
          <w:p w:rsidR="00895CCE" w:rsidRDefault="00D65E8D">
            <w:pPr>
              <w:spacing w:before="120"/>
              <w:rPr>
                <w:rFonts w:ascii="Arial" w:hAnsi="Arial"/>
                <w:b/>
                <w:sz w:val="16"/>
                <w:szCs w:val="16"/>
                <w:u w:val="single"/>
              </w:rPr>
            </w:pPr>
            <w:r>
              <w:rPr>
                <w:rFonts w:ascii="Arial" w:hAnsi="Arial"/>
                <w:b/>
                <w:sz w:val="16"/>
                <w:szCs w:val="16"/>
                <w:u w:val="single"/>
              </w:rPr>
              <w:t>Énergies renouvelables</w:t>
            </w:r>
          </w:p>
          <w:p w:rsidR="00895CCE" w:rsidRDefault="00D65E8D">
            <w:pPr>
              <w:jc w:val="both"/>
              <w:rPr>
                <w:rFonts w:ascii="Arial" w:hAnsi="Arial"/>
                <w:sz w:val="16"/>
                <w:szCs w:val="16"/>
              </w:rPr>
            </w:pPr>
            <w:r>
              <w:rPr>
                <w:rFonts w:ascii="Arial" w:hAnsi="Arial"/>
                <w:sz w:val="16"/>
                <w:szCs w:val="16"/>
              </w:rPr>
              <w:t>Elles figurent sur cette page de manière séparée. Seules sont estimées les quantités d’éne</w:t>
            </w:r>
            <w:r>
              <w:rPr>
                <w:rFonts w:ascii="Arial" w:hAnsi="Arial"/>
                <w:sz w:val="16"/>
                <w:szCs w:val="16"/>
              </w:rPr>
              <w:t>rgie renouvelable produite par les équipements installés à demeure.</w:t>
            </w:r>
          </w:p>
          <w:p w:rsidR="00895CCE" w:rsidRDefault="00895CCE">
            <w:pPr>
              <w:rPr>
                <w:sz w:val="16"/>
                <w:szCs w:val="16"/>
              </w:rPr>
            </w:pPr>
          </w:p>
        </w:tc>
      </w:tr>
    </w:tbl>
    <w:p w:rsidR="00895CCE" w:rsidRDefault="00D65E8D">
      <w:pPr>
        <w:spacing w:after="80"/>
        <w:rPr>
          <w:rFonts w:ascii="Arial" w:hAnsi="Arial"/>
          <w:sz w:val="2"/>
          <w:szCs w:val="2"/>
        </w:rPr>
      </w:pPr>
      <w:r>
        <w:rPr>
          <w:rFonts w:ascii="Arial" w:hAnsi="Arial"/>
          <w:b/>
          <w:sz w:val="2"/>
          <w:szCs w:val="2"/>
          <w:u w:val="single"/>
        </w:rPr>
        <w:br w:type="page"/>
      </w:r>
      <w:r>
        <w:rPr>
          <w:rFonts w:ascii="Arial" w:hAnsi="Arial"/>
          <w:b/>
          <w:sz w:val="36"/>
          <w:szCs w:val="36"/>
        </w:rPr>
        <w:lastRenderedPageBreak/>
        <w:t xml:space="preserve">Diagnostic de performance énergétique </w:t>
      </w:r>
      <w:r>
        <w:rPr>
          <w:rFonts w:ascii="Arial" w:hAnsi="Arial"/>
          <w:b/>
          <w:sz w:val="20"/>
          <w:szCs w:val="20"/>
        </w:rPr>
        <w:t>– logement (6.1)</w:t>
      </w:r>
    </w:p>
    <w:p w:rsidR="00895CCE" w:rsidRDefault="00D65E8D">
      <w:pPr>
        <w:spacing w:before="240" w:after="240"/>
        <w:rPr>
          <w:rFonts w:ascii="Arial" w:hAnsi="Arial"/>
          <w:b/>
          <w:smallCaps/>
          <w:sz w:val="22"/>
          <w:szCs w:val="22"/>
          <w:u w:val="single"/>
        </w:rPr>
      </w:pPr>
      <w:r>
        <w:rPr>
          <w:rFonts w:ascii="Arial" w:hAnsi="Arial"/>
          <w:b/>
          <w:sz w:val="22"/>
          <w:szCs w:val="22"/>
          <w:u w:val="single"/>
        </w:rPr>
        <w:t>Conseils pour un bon usage</w:t>
      </w:r>
    </w:p>
    <w:p w:rsidR="00895CCE" w:rsidRDefault="00D65E8D">
      <w:pPr>
        <w:spacing w:after="240"/>
        <w:jc w:val="both"/>
        <w:rPr>
          <w:rFonts w:ascii="Arial" w:hAnsi="Arial"/>
          <w:sz w:val="20"/>
          <w:szCs w:val="20"/>
        </w:rPr>
      </w:pPr>
      <w:r>
        <w:rPr>
          <w:rFonts w:ascii="Arial" w:hAnsi="Arial"/>
          <w:sz w:val="20"/>
          <w:szCs w:val="20"/>
        </w:rPr>
        <w:t xml:space="preserve">En complément de l’amélioration de son logement (voir page suivante), il existe une multitude de </w:t>
      </w:r>
      <w:r>
        <w:rPr>
          <w:rFonts w:ascii="Arial" w:hAnsi="Arial"/>
          <w:sz w:val="20"/>
          <w:szCs w:val="20"/>
        </w:rPr>
        <w:t>mesures non coûteuses ou très peu coûteuses permettant d’économiser de l’énergie et de réduire les émissions de gaz à effet de serre. Ces mesures concernent le chauffage, l’eau chaude sanitaire et le confort d’été.</w:t>
      </w:r>
    </w:p>
    <w:tbl>
      <w:tblPr>
        <w:tblW w:w="10800" w:type="dxa"/>
        <w:tblInd w:w="108" w:type="dxa"/>
        <w:tblBorders>
          <w:top w:val="nil"/>
          <w:left w:val="nil"/>
          <w:bottom w:val="nil"/>
          <w:right w:val="nil"/>
          <w:insideH w:val="nil"/>
          <w:insideV w:val="nil"/>
        </w:tblBorders>
        <w:tblLook w:val="01E0"/>
      </w:tblPr>
      <w:tblGrid>
        <w:gridCol w:w="5400"/>
        <w:gridCol w:w="5400"/>
      </w:tblGrid>
      <w:tr w:rsidR="00895CCE">
        <w:tc>
          <w:tcPr>
            <w:tcW w:w="5400" w:type="dxa"/>
            <w:tcBorders>
              <w:right w:val="single" w:sz="4" w:space="0" w:color="auto"/>
            </w:tcBorders>
            <w:shd w:val="clear" w:color="auto" w:fill="auto"/>
          </w:tcPr>
          <w:p w:rsidR="00895CCE" w:rsidRDefault="00D65E8D">
            <w:pPr>
              <w:jc w:val="both"/>
              <w:rPr>
                <w:rFonts w:ascii="Arial" w:hAnsi="Arial"/>
                <w:b/>
                <w:sz w:val="20"/>
                <w:szCs w:val="20"/>
                <w:u w:val="single"/>
              </w:rPr>
            </w:pPr>
            <w:r>
              <w:rPr>
                <w:rFonts w:ascii="Arial" w:hAnsi="Arial"/>
                <w:b/>
                <w:sz w:val="20"/>
                <w:szCs w:val="20"/>
                <w:u w:val="single"/>
              </w:rPr>
              <w:t>Chauffage</w:t>
            </w:r>
          </w:p>
          <w:p w:rsidR="00895CCE" w:rsidRDefault="00895CCE">
            <w:pPr>
              <w:jc w:val="both"/>
              <w:rPr>
                <w:rFonts w:ascii="Arial" w:hAnsi="Arial"/>
                <w:b/>
                <w:sz w:val="20"/>
                <w:szCs w:val="20"/>
                <w:u w:val="single"/>
              </w:rPr>
            </w:pPr>
          </w:p>
          <w:p w:rsidR="00895CCE" w:rsidRDefault="00895CCE">
            <w:pPr>
              <w:jc w:val="both"/>
              <w:rPr>
                <w:rFonts w:ascii="Arial" w:hAnsi="Arial"/>
                <w:b/>
                <w:sz w:val="20"/>
                <w:szCs w:val="20"/>
                <w:u w:val="single"/>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 xml:space="preserve">Régulez et programmez : La </w:t>
            </w:r>
            <w:r>
              <w:rPr>
                <w:rFonts w:ascii="Arial" w:hAnsi="Arial"/>
                <w:sz w:val="20"/>
                <w:szCs w:val="20"/>
              </w:rPr>
              <w:t>régulation vise à maintenir la température à une valeur constante, réglez le thermostat à 19 °C ; quant à la programmation, elle permet de faire varier cette température de consigne en fonction des besoins et de l’occupation du logement. On recommande ains</w:t>
            </w:r>
            <w:r>
              <w:rPr>
                <w:rFonts w:ascii="Arial" w:hAnsi="Arial"/>
                <w:sz w:val="20"/>
                <w:szCs w:val="20"/>
              </w:rPr>
              <w:t xml:space="preserve">i de couper le chauffage durant l’inoccupation des pièces ou lorsque les besoins de confort sont limités. Toutefois, pour assurer une remontée rapide en température, on dispose d’un contrôle de la température réduite que l’on règle généralement à quelques </w:t>
            </w:r>
            <w:r>
              <w:rPr>
                <w:rFonts w:ascii="Arial" w:hAnsi="Arial"/>
                <w:sz w:val="20"/>
                <w:szCs w:val="20"/>
              </w:rPr>
              <w:t>3 à 4 degrés inférieurs à la température de confort pour les absences courtes. Lorsque l’absence est prolongée, on conseille une température “hors gel” fixée aux environs de 8°C. Le programmateur assure automatiquement cette tâche.</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 xml:space="preserve">Réduisez le chauffage </w:t>
            </w:r>
            <w:r>
              <w:rPr>
                <w:rFonts w:ascii="Arial" w:hAnsi="Arial"/>
                <w:sz w:val="20"/>
                <w:szCs w:val="20"/>
              </w:rPr>
              <w:t>d’un degré, vous économiserez de 5 à 10 % d’énergie.</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Éteignez le chauffage quand les fenêtres sont ouvertes.</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Fermez les volets et/ou tirez les rideaux dans chaque pièce pendant la nuit.</w:t>
            </w:r>
          </w:p>
          <w:p w:rsidR="00895CCE" w:rsidRDefault="00D65E8D">
            <w:pPr>
              <w:spacing w:after="240"/>
              <w:ind w:left="360" w:hanging="360"/>
              <w:jc w:val="both"/>
              <w:rPr>
                <w:rFonts w:ascii="Arial" w:hAnsi="Arial"/>
                <w:sz w:val="20"/>
                <w:szCs w:val="20"/>
              </w:rPr>
            </w:pPr>
            <w:r>
              <w:rPr>
                <w:rFonts w:ascii="Arial" w:hAnsi="Arial"/>
                <w:sz w:val="20"/>
                <w:szCs w:val="20"/>
              </w:rPr>
              <w:t>•</w:t>
            </w:r>
            <w:r>
              <w:rPr>
                <w:rFonts w:ascii="Arial" w:hAnsi="Arial"/>
                <w:sz w:val="20"/>
                <w:szCs w:val="20"/>
              </w:rPr>
              <w:tab/>
              <w:t>Ne placez pas de meubles devant les émetteurs de chaleur (radiat</w:t>
            </w:r>
            <w:r>
              <w:rPr>
                <w:rFonts w:ascii="Arial" w:hAnsi="Arial"/>
                <w:sz w:val="20"/>
                <w:szCs w:val="20"/>
              </w:rPr>
              <w:t>eurs, convecteurs,…), cela  nuit à la bonne diffusion de la chaleur.</w:t>
            </w:r>
          </w:p>
          <w:p w:rsidR="00895CCE" w:rsidRDefault="00D65E8D">
            <w:pPr>
              <w:jc w:val="both"/>
              <w:rPr>
                <w:rFonts w:ascii="Arial" w:hAnsi="Arial"/>
                <w:b/>
                <w:sz w:val="20"/>
                <w:szCs w:val="20"/>
                <w:u w:val="single"/>
              </w:rPr>
            </w:pPr>
            <w:r>
              <w:rPr>
                <w:rFonts w:ascii="Arial" w:hAnsi="Arial"/>
                <w:b/>
                <w:sz w:val="20"/>
                <w:szCs w:val="20"/>
                <w:u w:val="single"/>
              </w:rPr>
              <w:t>Eau chaude sanitaire</w:t>
            </w:r>
          </w:p>
          <w:p w:rsidR="00895CCE" w:rsidRDefault="00895CCE">
            <w:pPr>
              <w:jc w:val="both"/>
              <w:rPr>
                <w:rFonts w:ascii="Arial" w:hAnsi="Arial"/>
                <w:b/>
                <w:sz w:val="20"/>
                <w:szCs w:val="20"/>
                <w:u w:val="single"/>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Arrêtez le chauffe-eau pendant les périodes d'inoccupation (départs en congés,…) pour limiter les pertes inutiles.</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Préférez les mitigeurs thermostatiques aux mél</w:t>
            </w:r>
            <w:r>
              <w:rPr>
                <w:rFonts w:ascii="Arial" w:hAnsi="Arial"/>
                <w:sz w:val="20"/>
                <w:szCs w:val="20"/>
              </w:rPr>
              <w:t>angeurs.</w:t>
            </w:r>
          </w:p>
          <w:p w:rsidR="00895CCE" w:rsidRDefault="00895CCE">
            <w:pPr>
              <w:ind w:left="360" w:hanging="360"/>
              <w:jc w:val="both"/>
              <w:rPr>
                <w:rFonts w:ascii="Arial" w:hAnsi="Arial"/>
                <w:sz w:val="20"/>
                <w:szCs w:val="20"/>
              </w:rPr>
            </w:pPr>
          </w:p>
          <w:p w:rsidR="00895CCE" w:rsidRDefault="00D65E8D">
            <w:pPr>
              <w:jc w:val="both"/>
              <w:rPr>
                <w:rFonts w:ascii="Arial" w:hAnsi="Arial"/>
                <w:b/>
                <w:sz w:val="20"/>
                <w:szCs w:val="20"/>
                <w:u w:val="single"/>
              </w:rPr>
            </w:pPr>
            <w:r>
              <w:rPr>
                <w:rFonts w:ascii="Arial" w:hAnsi="Arial"/>
                <w:b/>
                <w:sz w:val="20"/>
                <w:szCs w:val="20"/>
                <w:u w:val="single"/>
              </w:rPr>
              <w:t>Aération</w:t>
            </w:r>
          </w:p>
          <w:p w:rsidR="00895CCE" w:rsidRDefault="00895CCE">
            <w:pPr>
              <w:jc w:val="both"/>
              <w:rPr>
                <w:rFonts w:ascii="Arial" w:hAnsi="Arial"/>
                <w:b/>
                <w:sz w:val="20"/>
                <w:szCs w:val="20"/>
                <w:u w:val="single"/>
              </w:rPr>
            </w:pPr>
          </w:p>
          <w:p w:rsidR="00895CCE" w:rsidRDefault="00D65E8D">
            <w:pPr>
              <w:jc w:val="both"/>
              <w:rPr>
                <w:rFonts w:ascii="Arial" w:hAnsi="Arial"/>
                <w:sz w:val="20"/>
                <w:szCs w:val="20"/>
              </w:rPr>
            </w:pPr>
            <w:r>
              <w:rPr>
                <w:rFonts w:ascii="Arial" w:hAnsi="Arial"/>
                <w:sz w:val="20"/>
                <w:szCs w:val="20"/>
              </w:rPr>
              <w:t>Si votre logement fonctionne en ventilation naturelle :</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Une bonne aération permet de renouveler l’air intérieur et d’éviter la dégradation du bâti par l’humidité.</w:t>
            </w:r>
          </w:p>
          <w:p w:rsidR="00895CCE" w:rsidRDefault="00895CCE"/>
        </w:tc>
        <w:tc>
          <w:tcPr>
            <w:tcW w:w="5400" w:type="dxa"/>
            <w:tcBorders>
              <w:left w:val="single" w:sz="4" w:space="0" w:color="auto"/>
            </w:tcBorders>
            <w:shd w:val="clear" w:color="auto" w:fill="auto"/>
          </w:tcPr>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 xml:space="preserve">Il est conseillé d’aérer quotidiennement le logement en ouvrant les </w:t>
            </w:r>
            <w:r>
              <w:rPr>
                <w:rFonts w:ascii="Arial" w:hAnsi="Arial"/>
                <w:sz w:val="20"/>
                <w:szCs w:val="20"/>
              </w:rPr>
              <w:t>fenêtres en grand sur une courte durée et de nettoyer régulièrement les grilles d’entrée d’air et les bouches d’extraction s’il y a lieu.</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Ne bouchez pas les entrées d’air, sinon vous pourriez mettre votre santé en danger. Si elles vous gênent, faites app</w:t>
            </w:r>
            <w:r>
              <w:rPr>
                <w:rFonts w:ascii="Arial" w:hAnsi="Arial"/>
                <w:sz w:val="20"/>
                <w:szCs w:val="20"/>
              </w:rPr>
              <w:t>el à un professionnel.</w:t>
            </w:r>
          </w:p>
          <w:p w:rsidR="00895CCE" w:rsidRDefault="00895CCE">
            <w:pPr>
              <w:jc w:val="both"/>
              <w:rPr>
                <w:rFonts w:ascii="Arial" w:hAnsi="Arial"/>
                <w:sz w:val="20"/>
                <w:szCs w:val="20"/>
              </w:rPr>
            </w:pPr>
          </w:p>
          <w:p w:rsidR="00895CCE" w:rsidRDefault="00D65E8D">
            <w:pPr>
              <w:jc w:val="both"/>
              <w:rPr>
                <w:rFonts w:ascii="Arial" w:hAnsi="Arial"/>
                <w:sz w:val="20"/>
                <w:szCs w:val="20"/>
              </w:rPr>
            </w:pPr>
            <w:r>
              <w:rPr>
                <w:rFonts w:ascii="Arial" w:hAnsi="Arial"/>
                <w:sz w:val="20"/>
                <w:szCs w:val="20"/>
              </w:rPr>
              <w:t>Si votre logement fonctionne avec une ventilation mécanique contrôlée :</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Aérez périodiquement le logement.</w:t>
            </w:r>
          </w:p>
          <w:p w:rsidR="00895CCE" w:rsidRDefault="00895CCE">
            <w:pPr>
              <w:ind w:left="360" w:hanging="360"/>
              <w:jc w:val="both"/>
              <w:rPr>
                <w:rFonts w:ascii="Arial" w:hAnsi="Arial"/>
                <w:sz w:val="20"/>
                <w:szCs w:val="20"/>
              </w:rPr>
            </w:pPr>
          </w:p>
          <w:p w:rsidR="00895CCE" w:rsidRDefault="00D65E8D">
            <w:pPr>
              <w:jc w:val="both"/>
              <w:rPr>
                <w:rFonts w:ascii="Arial" w:hAnsi="Arial"/>
                <w:b/>
                <w:sz w:val="20"/>
                <w:szCs w:val="20"/>
                <w:u w:val="single"/>
              </w:rPr>
            </w:pPr>
            <w:r>
              <w:rPr>
                <w:rFonts w:ascii="Arial" w:hAnsi="Arial"/>
                <w:b/>
                <w:sz w:val="20"/>
                <w:szCs w:val="20"/>
                <w:u w:val="single"/>
              </w:rPr>
              <w:t>Confort d’été</w:t>
            </w:r>
          </w:p>
          <w:p w:rsidR="00895CCE" w:rsidRDefault="00895CCE">
            <w:pPr>
              <w:jc w:val="both"/>
              <w:rPr>
                <w:rFonts w:ascii="Arial" w:hAnsi="Arial"/>
                <w:b/>
                <w:sz w:val="20"/>
                <w:szCs w:val="20"/>
                <w:u w:val="single"/>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Utilisez les stores et les volets pour limiter les apports solaires dans la maison le jour.</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Ouvrez les f</w:t>
            </w:r>
            <w:r>
              <w:rPr>
                <w:rFonts w:ascii="Arial" w:hAnsi="Arial"/>
                <w:sz w:val="20"/>
                <w:szCs w:val="20"/>
              </w:rPr>
              <w:t>enêtres en créant un courant d’air, la nuit pour rafraîchir.</w:t>
            </w:r>
          </w:p>
          <w:p w:rsidR="00895CCE" w:rsidRDefault="00895CCE">
            <w:pPr>
              <w:ind w:left="360" w:hanging="360"/>
              <w:jc w:val="both"/>
              <w:rPr>
                <w:rFonts w:ascii="Arial" w:hAnsi="Arial"/>
                <w:sz w:val="20"/>
                <w:szCs w:val="20"/>
              </w:rPr>
            </w:pPr>
          </w:p>
          <w:p w:rsidR="00895CCE" w:rsidRDefault="00D65E8D">
            <w:pPr>
              <w:jc w:val="both"/>
              <w:rPr>
                <w:rFonts w:ascii="Arial" w:hAnsi="Arial"/>
                <w:b/>
                <w:sz w:val="20"/>
                <w:szCs w:val="20"/>
                <w:u w:val="single"/>
              </w:rPr>
            </w:pPr>
            <w:r>
              <w:rPr>
                <w:rFonts w:ascii="Arial" w:hAnsi="Arial"/>
                <w:b/>
                <w:sz w:val="20"/>
                <w:szCs w:val="20"/>
                <w:u w:val="single"/>
              </w:rPr>
              <w:t>Autres usages</w:t>
            </w:r>
          </w:p>
          <w:p w:rsidR="00895CCE" w:rsidRDefault="00895CCE">
            <w:pPr>
              <w:jc w:val="both"/>
              <w:rPr>
                <w:rFonts w:ascii="Arial" w:hAnsi="Arial"/>
                <w:b/>
                <w:sz w:val="20"/>
                <w:szCs w:val="20"/>
                <w:u w:val="single"/>
              </w:rPr>
            </w:pPr>
          </w:p>
          <w:p w:rsidR="00895CCE" w:rsidRDefault="00D65E8D">
            <w:pPr>
              <w:jc w:val="both"/>
              <w:rPr>
                <w:rFonts w:ascii="Arial" w:hAnsi="Arial"/>
                <w:b/>
                <w:sz w:val="20"/>
                <w:szCs w:val="20"/>
              </w:rPr>
            </w:pPr>
            <w:r>
              <w:rPr>
                <w:rFonts w:ascii="Arial" w:hAnsi="Arial"/>
                <w:b/>
                <w:sz w:val="20"/>
                <w:szCs w:val="20"/>
              </w:rPr>
              <w:t>Éclairage :</w:t>
            </w:r>
          </w:p>
          <w:p w:rsidR="00895CCE" w:rsidRDefault="00895CCE">
            <w:pPr>
              <w:jc w:val="both"/>
              <w:rPr>
                <w:rFonts w:ascii="Arial" w:hAnsi="Arial"/>
                <w:b/>
                <w:sz w:val="20"/>
                <w:szCs w:val="20"/>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Optez pour des lampes basse consommation (fluo-compactes ou fluorescentes).</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Évitez les lampes qui consomment beaucoup trop d’énergie, comme les lampes à incandesc</w:t>
            </w:r>
            <w:r>
              <w:rPr>
                <w:rFonts w:ascii="Arial" w:hAnsi="Arial"/>
                <w:sz w:val="20"/>
                <w:szCs w:val="20"/>
              </w:rPr>
              <w:t>ence ou les lampes halogènes.</w:t>
            </w: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Nettoyez les lampes et les luminaires (abat-jour, vasques…) ; poussiéreux, ils peuvent perdre jusqu'à 40 % de leur efficacité lumineuse.</w:t>
            </w:r>
          </w:p>
          <w:p w:rsidR="00895CCE" w:rsidRDefault="00895CCE">
            <w:pPr>
              <w:ind w:left="360" w:hanging="360"/>
              <w:jc w:val="both"/>
              <w:rPr>
                <w:rFonts w:ascii="Arial" w:hAnsi="Arial"/>
                <w:sz w:val="20"/>
                <w:szCs w:val="20"/>
              </w:rPr>
            </w:pPr>
          </w:p>
          <w:p w:rsidR="00895CCE" w:rsidRDefault="00D65E8D">
            <w:pPr>
              <w:jc w:val="both"/>
              <w:rPr>
                <w:rFonts w:ascii="Arial" w:hAnsi="Arial"/>
                <w:b/>
                <w:sz w:val="20"/>
                <w:szCs w:val="20"/>
              </w:rPr>
            </w:pPr>
            <w:r>
              <w:rPr>
                <w:rFonts w:ascii="Arial" w:hAnsi="Arial"/>
                <w:b/>
                <w:sz w:val="20"/>
                <w:szCs w:val="20"/>
              </w:rPr>
              <w:t>Bureautique / audiovisuel :</w:t>
            </w:r>
          </w:p>
          <w:p w:rsidR="00895CCE" w:rsidRDefault="00895CCE">
            <w:pPr>
              <w:jc w:val="both"/>
              <w:rPr>
                <w:rFonts w:ascii="Arial" w:hAnsi="Arial"/>
                <w:b/>
                <w:sz w:val="20"/>
                <w:szCs w:val="20"/>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Éteignez ou débranchez les appareils ne fonctionnant qu</w:t>
            </w:r>
            <w:r>
              <w:rPr>
                <w:rFonts w:ascii="Arial" w:hAnsi="Arial"/>
                <w:sz w:val="20"/>
                <w:szCs w:val="20"/>
              </w:rPr>
              <w:t>e quelques heures par jour (téléviseurs, magnétoscopes,…). En mode  veille, ils consomment inutilement et  augmentent votre facture d’électricité.</w:t>
            </w:r>
          </w:p>
          <w:p w:rsidR="00895CCE" w:rsidRDefault="00895CCE">
            <w:pPr>
              <w:ind w:left="360" w:hanging="360"/>
              <w:jc w:val="both"/>
              <w:rPr>
                <w:rFonts w:ascii="Arial" w:hAnsi="Arial"/>
                <w:sz w:val="20"/>
                <w:szCs w:val="20"/>
              </w:rPr>
            </w:pPr>
          </w:p>
          <w:p w:rsidR="00895CCE" w:rsidRDefault="00D65E8D">
            <w:pPr>
              <w:jc w:val="both"/>
              <w:rPr>
                <w:rFonts w:ascii="Arial" w:hAnsi="Arial"/>
                <w:b/>
                <w:sz w:val="20"/>
                <w:szCs w:val="20"/>
              </w:rPr>
            </w:pPr>
            <w:r>
              <w:rPr>
                <w:rFonts w:ascii="Arial" w:hAnsi="Arial"/>
                <w:b/>
                <w:sz w:val="20"/>
                <w:szCs w:val="20"/>
              </w:rPr>
              <w:t>Électroménager (cuisson, réfrigération,…) :</w:t>
            </w:r>
          </w:p>
          <w:p w:rsidR="00895CCE" w:rsidRDefault="00895CCE">
            <w:pPr>
              <w:jc w:val="both"/>
              <w:rPr>
                <w:rFonts w:ascii="Arial" w:hAnsi="Arial"/>
                <w:b/>
                <w:sz w:val="20"/>
                <w:szCs w:val="20"/>
              </w:rPr>
            </w:pPr>
          </w:p>
          <w:p w:rsidR="00895CCE" w:rsidRDefault="00D65E8D">
            <w:pPr>
              <w:ind w:left="360" w:hanging="360"/>
              <w:jc w:val="both"/>
              <w:rPr>
                <w:rFonts w:ascii="Arial" w:hAnsi="Arial"/>
                <w:sz w:val="20"/>
                <w:szCs w:val="20"/>
              </w:rPr>
            </w:pPr>
            <w:r>
              <w:rPr>
                <w:rFonts w:ascii="Arial" w:hAnsi="Arial"/>
                <w:sz w:val="20"/>
                <w:szCs w:val="20"/>
              </w:rPr>
              <w:t>•</w:t>
            </w:r>
            <w:r>
              <w:rPr>
                <w:rFonts w:ascii="Arial" w:hAnsi="Arial"/>
                <w:sz w:val="20"/>
                <w:szCs w:val="20"/>
              </w:rPr>
              <w:tab/>
              <w:t xml:space="preserve">Optez pour les appareils de classe A ou supérieure (A+, </w:t>
            </w:r>
            <w:r>
              <w:rPr>
                <w:rFonts w:ascii="Arial" w:hAnsi="Arial"/>
                <w:sz w:val="20"/>
                <w:szCs w:val="20"/>
              </w:rPr>
              <w:t>A++,…).</w:t>
            </w:r>
          </w:p>
          <w:p w:rsidR="00895CCE" w:rsidRDefault="00895CCE"/>
        </w:tc>
      </w:tr>
    </w:tbl>
    <w:p w:rsidR="00895CCE" w:rsidRDefault="00D65E8D">
      <w:pPr>
        <w:spacing w:after="80"/>
        <w:rPr>
          <w:rFonts w:ascii="Arial" w:hAnsi="Arial"/>
          <w:sz w:val="2"/>
          <w:szCs w:val="2"/>
        </w:rPr>
      </w:pPr>
      <w:r>
        <w:rPr>
          <w:rFonts w:ascii="Arial" w:hAnsi="Arial"/>
          <w:b/>
          <w:sz w:val="2"/>
          <w:szCs w:val="2"/>
          <w:u w:val="single"/>
        </w:rPr>
        <w:br w:type="page"/>
      </w:r>
      <w:r>
        <w:rPr>
          <w:rFonts w:ascii="Arial" w:hAnsi="Arial"/>
          <w:b/>
          <w:sz w:val="36"/>
          <w:szCs w:val="36"/>
        </w:rPr>
        <w:lastRenderedPageBreak/>
        <w:t xml:space="preserve">Diagnostic de performance énergétique </w:t>
      </w:r>
      <w:r>
        <w:rPr>
          <w:rFonts w:ascii="Arial" w:hAnsi="Arial"/>
          <w:b/>
          <w:sz w:val="20"/>
          <w:szCs w:val="20"/>
        </w:rPr>
        <w:t>– logement (6.1)</w:t>
      </w:r>
    </w:p>
    <w:p w:rsidR="00895CCE" w:rsidRDefault="00D65E8D">
      <w:pPr>
        <w:rPr>
          <w:rFonts w:ascii="Arial" w:hAnsi="Arial"/>
          <w:b/>
          <w:smallCaps/>
          <w:sz w:val="22"/>
          <w:szCs w:val="22"/>
          <w:u w:val="single"/>
        </w:rPr>
      </w:pPr>
      <w:r>
        <w:rPr>
          <w:rFonts w:ascii="Arial" w:hAnsi="Arial"/>
          <w:b/>
          <w:sz w:val="22"/>
          <w:szCs w:val="22"/>
          <w:u w:val="single"/>
        </w:rPr>
        <w:t>Recommandations d’amélioration énergétique</w:t>
      </w:r>
    </w:p>
    <w:p w:rsidR="00895CCE" w:rsidRDefault="00D65E8D">
      <w:pPr>
        <w:spacing w:before="120"/>
        <w:jc w:val="both"/>
        <w:rPr>
          <w:rFonts w:ascii="Arial" w:hAnsi="Arial"/>
          <w:sz w:val="18"/>
          <w:szCs w:val="18"/>
        </w:rPr>
      </w:pPr>
      <w:r>
        <w:rPr>
          <w:rFonts w:ascii="Arial" w:hAnsi="Arial"/>
          <w:sz w:val="18"/>
          <w:szCs w:val="18"/>
        </w:rPr>
        <w:t xml:space="preserve">Sont présentées dans le tableau suivant quelques mesures visant à réduire vos consommations d’énergie. Les consommations, économies, efforts et </w:t>
      </w:r>
      <w:r>
        <w:rPr>
          <w:rFonts w:ascii="Arial" w:hAnsi="Arial"/>
          <w:sz w:val="18"/>
          <w:szCs w:val="18"/>
        </w:rPr>
        <w:t>retours sur investissement proposés ici sont donnés à titre indicatif et séparément les uns des autres.</w:t>
      </w:r>
    </w:p>
    <w:p w:rsidR="00895CCE" w:rsidRDefault="00D65E8D">
      <w:pPr>
        <w:spacing w:after="240"/>
        <w:jc w:val="both"/>
        <w:rPr>
          <w:rFonts w:ascii="Arial" w:hAnsi="Arial"/>
          <w:sz w:val="18"/>
          <w:szCs w:val="18"/>
        </w:rPr>
      </w:pPr>
      <w:r>
        <w:rPr>
          <w:rFonts w:ascii="Arial" w:hAnsi="Arial"/>
          <w:sz w:val="18"/>
          <w:szCs w:val="18"/>
        </w:rPr>
        <w:t>Certains coûts d’investissement additionnels éventuels (travaux de finition, etc.) ne sont pas pris en compte. Ces valeurs devront impérativement être c</w:t>
      </w:r>
      <w:r>
        <w:rPr>
          <w:rFonts w:ascii="Arial" w:hAnsi="Arial"/>
          <w:sz w:val="18"/>
          <w:szCs w:val="18"/>
        </w:rPr>
        <w:t>omplétées avant réalisation des travaux par des devis d’entreprises. Enfin, il est à noter que certaines aides fiscales peuvent minimiser les coûts moyens annoncés (subventions, crédit d’impôt, etc.). La TVA est comptée au taux en vigueur.</w:t>
      </w:r>
    </w:p>
    <w:tbl>
      <w:tblPr>
        <w:tblW w:w="0" w:type="auto"/>
        <w:tblInd w:w="108" w:type="dxa"/>
        <w:tblBorders>
          <w:top w:val="single" w:sz="4" w:space="0" w:color="auto"/>
          <w:left w:val="nil"/>
          <w:bottom w:val="single" w:sz="4" w:space="0" w:color="auto"/>
          <w:right w:val="nil"/>
          <w:insideH w:val="single" w:sz="4" w:space="0" w:color="auto"/>
          <w:insideV w:val="nil"/>
        </w:tblBorders>
        <w:tblLayout w:type="fixed"/>
        <w:tblCellMar>
          <w:top w:w="23" w:type="dxa"/>
          <w:bottom w:w="23" w:type="dxa"/>
        </w:tblCellMar>
        <w:tblLook w:val="01E0"/>
      </w:tblPr>
      <w:tblGrid>
        <w:gridCol w:w="3240"/>
        <w:gridCol w:w="1620"/>
        <w:gridCol w:w="1440"/>
        <w:gridCol w:w="1260"/>
        <w:gridCol w:w="1620"/>
        <w:gridCol w:w="1620"/>
      </w:tblGrid>
      <w:tr w:rsidR="00895CCE">
        <w:trPr>
          <w:cantSplit/>
          <w:trHeight w:val="131"/>
        </w:trPr>
        <w:tc>
          <w:tcPr>
            <w:tcW w:w="3240" w:type="dxa"/>
            <w:vAlign w:val="center"/>
          </w:tcPr>
          <w:p w:rsidR="00895CCE" w:rsidRDefault="00D65E8D">
            <w:pPr>
              <w:pStyle w:val="Corpsdetexte3"/>
              <w:spacing w:before="60" w:after="60"/>
              <w:jc w:val="center"/>
              <w:rPr>
                <w:rFonts w:ascii="Arial" w:hAnsi="Arial"/>
                <w:sz w:val="20"/>
                <w:szCs w:val="20"/>
              </w:rPr>
            </w:pPr>
            <w:r>
              <w:rPr>
                <w:rFonts w:ascii="Arial" w:hAnsi="Arial"/>
                <w:sz w:val="20"/>
                <w:szCs w:val="20"/>
              </w:rPr>
              <w:t xml:space="preserve">Mesures </w:t>
            </w:r>
            <w:r>
              <w:rPr>
                <w:rFonts w:ascii="Arial" w:hAnsi="Arial"/>
                <w:sz w:val="20"/>
                <w:szCs w:val="20"/>
              </w:rPr>
              <w:t>d’amélioration</w:t>
            </w:r>
          </w:p>
        </w:tc>
        <w:tc>
          <w:tcPr>
            <w:tcW w:w="1620" w:type="dxa"/>
            <w:vAlign w:val="center"/>
          </w:tcPr>
          <w:p w:rsidR="00895CCE" w:rsidRDefault="00D65E8D">
            <w:pPr>
              <w:pStyle w:val="Corpsdetexte3"/>
              <w:spacing w:before="60" w:after="60"/>
              <w:jc w:val="center"/>
              <w:rPr>
                <w:rFonts w:ascii="Arial" w:hAnsi="Arial"/>
                <w:sz w:val="14"/>
                <w:szCs w:val="14"/>
              </w:rPr>
            </w:pPr>
            <w:r>
              <w:rPr>
                <w:rFonts w:ascii="Arial" w:hAnsi="Arial"/>
                <w:sz w:val="14"/>
                <w:szCs w:val="14"/>
              </w:rPr>
              <w:t>Nouvelle conso. Conventionnelle</w:t>
            </w:r>
          </w:p>
        </w:tc>
        <w:tc>
          <w:tcPr>
            <w:tcW w:w="1440" w:type="dxa"/>
            <w:vAlign w:val="center"/>
          </w:tcPr>
          <w:p w:rsidR="00895CCE" w:rsidRDefault="00D65E8D">
            <w:pPr>
              <w:pStyle w:val="Corpsdetexte3"/>
              <w:spacing w:before="60" w:after="60"/>
              <w:jc w:val="center"/>
              <w:rPr>
                <w:rFonts w:ascii="Arial" w:hAnsi="Arial"/>
                <w:sz w:val="14"/>
                <w:szCs w:val="14"/>
              </w:rPr>
            </w:pPr>
            <w:r>
              <w:rPr>
                <w:rFonts w:ascii="Arial" w:hAnsi="Arial"/>
                <w:sz w:val="14"/>
                <w:szCs w:val="14"/>
              </w:rPr>
              <w:t>Effort d’investissement*</w:t>
            </w:r>
          </w:p>
        </w:tc>
        <w:tc>
          <w:tcPr>
            <w:tcW w:w="1260" w:type="dxa"/>
            <w:vAlign w:val="center"/>
          </w:tcPr>
          <w:p w:rsidR="00895CCE" w:rsidRDefault="00D65E8D">
            <w:pPr>
              <w:pStyle w:val="Corpsdetexte3"/>
              <w:spacing w:before="60" w:after="60"/>
              <w:jc w:val="center"/>
              <w:rPr>
                <w:rFonts w:ascii="Arial" w:hAnsi="Arial"/>
                <w:sz w:val="14"/>
                <w:szCs w:val="14"/>
              </w:rPr>
            </w:pPr>
            <w:r>
              <w:rPr>
                <w:rFonts w:ascii="Arial" w:hAnsi="Arial"/>
                <w:sz w:val="14"/>
                <w:szCs w:val="14"/>
              </w:rPr>
              <w:t>Économies</w:t>
            </w:r>
          </w:p>
        </w:tc>
        <w:tc>
          <w:tcPr>
            <w:tcW w:w="1620" w:type="dxa"/>
            <w:vAlign w:val="center"/>
          </w:tcPr>
          <w:p w:rsidR="00895CCE" w:rsidRDefault="00D65E8D">
            <w:pPr>
              <w:pStyle w:val="Corpsdetexte3"/>
              <w:spacing w:before="60" w:after="60"/>
              <w:jc w:val="center"/>
              <w:rPr>
                <w:rFonts w:ascii="Arial" w:hAnsi="Arial"/>
                <w:sz w:val="14"/>
                <w:szCs w:val="14"/>
              </w:rPr>
            </w:pPr>
            <w:r>
              <w:rPr>
                <w:rFonts w:ascii="Arial" w:hAnsi="Arial"/>
                <w:sz w:val="14"/>
                <w:szCs w:val="14"/>
              </w:rPr>
              <w:t>Rapidité du retour sur investissement*</w:t>
            </w:r>
          </w:p>
        </w:tc>
        <w:tc>
          <w:tcPr>
            <w:tcW w:w="1620" w:type="dxa"/>
            <w:vAlign w:val="center"/>
          </w:tcPr>
          <w:p w:rsidR="00895CCE" w:rsidRDefault="00D65E8D">
            <w:pPr>
              <w:pStyle w:val="Corpsdetexte3"/>
              <w:spacing w:before="60" w:after="60"/>
              <w:jc w:val="center"/>
              <w:rPr>
                <w:rFonts w:ascii="Arial" w:hAnsi="Arial"/>
                <w:sz w:val="14"/>
                <w:szCs w:val="14"/>
              </w:rPr>
            </w:pPr>
            <w:r>
              <w:rPr>
                <w:rFonts w:ascii="Arial" w:hAnsi="Arial"/>
                <w:sz w:val="14"/>
                <w:szCs w:val="14"/>
              </w:rPr>
              <w:t>Crédit d’impôt</w:t>
            </w:r>
          </w:p>
        </w:tc>
      </w:tr>
      <w:tr w:rsidR="00895CCE">
        <w:trPr>
          <w:cantSplit/>
          <w:trHeight w:val="47"/>
          <w:tblHeader/>
        </w:trPr>
        <w:tc>
          <w:tcPr>
            <w:tcW w:w="3240" w:type="dxa"/>
            <w:tcBorders>
              <w:bottom w:val="single" w:sz="4" w:space="0" w:color="FFFFFF"/>
            </w:tcBorders>
            <w:vAlign w:val="center"/>
          </w:tcPr>
          <w:p w:rsidR="00895CCE" w:rsidRDefault="00D65E8D">
            <w:pPr>
              <w:rPr>
                <w:rFonts w:ascii="Arial" w:hAnsi="Arial"/>
                <w:sz w:val="18"/>
                <w:szCs w:val="18"/>
              </w:rPr>
            </w:pPr>
            <w:r>
              <w:rPr>
                <w:rFonts w:ascii="Arial" w:hAnsi="Arial"/>
                <w:sz w:val="18"/>
                <w:szCs w:val="18"/>
              </w:rPr>
              <w:t>Remplacement vitrages par double-vitrage VIR</w:t>
            </w:r>
          </w:p>
        </w:tc>
        <w:tc>
          <w:tcPr>
            <w:tcW w:w="1620" w:type="dxa"/>
            <w:tcBorders>
              <w:bottom w:val="single" w:sz="4" w:space="0" w:color="FFFFFF"/>
            </w:tcBorders>
            <w:vAlign w:val="center"/>
          </w:tcPr>
          <w:p w:rsidR="00895CCE" w:rsidRDefault="00D65E8D">
            <w:pPr>
              <w:jc w:val="center"/>
              <w:rPr>
                <w:rFonts w:ascii="Arial" w:hAnsi="Arial"/>
                <w:b/>
                <w:i/>
                <w:sz w:val="18"/>
                <w:szCs w:val="18"/>
              </w:rPr>
            </w:pPr>
            <w:r>
              <w:rPr>
                <w:rFonts w:ascii="Arial" w:hAnsi="Arial"/>
                <w:b/>
                <w:i/>
                <w:sz w:val="18"/>
                <w:szCs w:val="18"/>
              </w:rPr>
              <w:t>141</w:t>
            </w:r>
          </w:p>
        </w:tc>
        <w:tc>
          <w:tcPr>
            <w:tcW w:w="1440" w:type="dxa"/>
            <w:tcBorders>
              <w:bottom w:val="single" w:sz="4" w:space="0" w:color="FFFFFF"/>
            </w:tcBorders>
            <w:vAlign w:val="center"/>
          </w:tcPr>
          <w:p w:rsidR="00895CCE" w:rsidRDefault="00D65E8D">
            <w:pPr>
              <w:jc w:val="center"/>
              <w:rPr>
                <w:rFonts w:ascii="Arial" w:hAnsi="Arial"/>
                <w:b/>
                <w:color w:val="FF0000"/>
                <w:sz w:val="22"/>
                <w:szCs w:val="22"/>
              </w:rPr>
            </w:pPr>
            <w:r>
              <w:rPr>
                <w:rFonts w:ascii="Arial" w:hAnsi="Arial"/>
                <w:b/>
                <w:color w:val="FF0000"/>
                <w:sz w:val="22"/>
                <w:szCs w:val="22"/>
              </w:rPr>
              <w:t>€€€</w:t>
            </w:r>
          </w:p>
        </w:tc>
        <w:tc>
          <w:tcPr>
            <w:tcW w:w="1260" w:type="dxa"/>
            <w:tcBorders>
              <w:bottom w:val="single" w:sz="4" w:space="0" w:color="FFFFFF"/>
            </w:tcBorders>
            <w:vAlign w:val="center"/>
          </w:tcPr>
          <w:p w:rsidR="00895CCE" w:rsidRDefault="00D65E8D">
            <w:pPr>
              <w:jc w:val="center"/>
              <w:rPr>
                <w:rFonts w:ascii="Wingdings 2" w:hAnsi="Wingdings 2"/>
                <w:b/>
                <w:color w:val="CC9900"/>
                <w:sz w:val="20"/>
                <w:szCs w:val="20"/>
              </w:rPr>
            </w:pPr>
            <w:r>
              <w:rPr>
                <w:rFonts w:ascii="Wingdings 2" w:hAnsi="Wingdings 2"/>
                <w:b/>
                <w:color w:val="CC9900"/>
                <w:sz w:val="20"/>
                <w:szCs w:val="20"/>
              </w:rPr>
              <w:t></w:t>
            </w:r>
          </w:p>
        </w:tc>
        <w:tc>
          <w:tcPr>
            <w:tcW w:w="1620" w:type="dxa"/>
            <w:tcBorders>
              <w:bottom w:val="single" w:sz="4" w:space="0" w:color="FFFFFF"/>
            </w:tcBorders>
            <w:vAlign w:val="center"/>
          </w:tcPr>
          <w:p w:rsidR="00895CCE" w:rsidRDefault="00D65E8D">
            <w:pPr>
              <w:jc w:val="center"/>
              <w:rPr>
                <w:rFonts w:ascii="Wingdings 2" w:hAnsi="Wingdings 2"/>
                <w:b/>
                <w:color w:val="99CC00"/>
                <w:sz w:val="20"/>
                <w:szCs w:val="20"/>
              </w:rPr>
            </w:pPr>
            <w:r>
              <w:rPr>
                <w:rFonts w:ascii="Wingdings 2" w:hAnsi="Wingdings 2"/>
                <w:b/>
                <w:color w:val="99CC00"/>
                <w:sz w:val="20"/>
                <w:szCs w:val="20"/>
              </w:rPr>
              <w:t></w:t>
            </w:r>
          </w:p>
        </w:tc>
        <w:tc>
          <w:tcPr>
            <w:tcW w:w="1620" w:type="dxa"/>
            <w:tcBorders>
              <w:bottom w:val="single" w:sz="4" w:space="0" w:color="FFFFFF"/>
            </w:tcBorders>
            <w:vAlign w:val="center"/>
          </w:tcPr>
          <w:p w:rsidR="00895CCE" w:rsidRDefault="00D65E8D">
            <w:pPr>
              <w:jc w:val="center"/>
              <w:rPr>
                <w:rFonts w:ascii="Arial" w:hAnsi="Arial"/>
                <w:b/>
                <w:i/>
                <w:sz w:val="20"/>
                <w:szCs w:val="20"/>
              </w:rPr>
            </w:pPr>
            <w:r>
              <w:rPr>
                <w:rFonts w:ascii="Arial" w:hAnsi="Arial"/>
                <w:b/>
                <w:i/>
                <w:sz w:val="20"/>
                <w:szCs w:val="20"/>
              </w:rPr>
              <w:t>30%</w:t>
            </w:r>
          </w:p>
        </w:tc>
      </w:tr>
      <w:tr w:rsidR="00895CCE">
        <w:trPr>
          <w:cantSplit/>
          <w:trHeight w:val="47"/>
          <w:tblHeader/>
        </w:trPr>
        <w:tc>
          <w:tcPr>
            <w:tcW w:w="3240" w:type="dxa"/>
            <w:gridSpan w:val="6"/>
            <w:tcBorders>
              <w:top w:val="single" w:sz="4" w:space="0" w:color="FFFFFF"/>
            </w:tcBorders>
            <w:vAlign w:val="center"/>
          </w:tcPr>
          <w:p w:rsidR="00895CCE" w:rsidRDefault="00D65E8D">
            <w:pPr>
              <w:rPr>
                <w:rFonts w:ascii="Arial" w:hAnsi="Arial"/>
                <w:color w:val="666666"/>
                <w:sz w:val="18"/>
                <w:szCs w:val="18"/>
              </w:rPr>
            </w:pPr>
            <w:r>
              <w:rPr>
                <w:rFonts w:ascii="Arial" w:hAnsi="Arial"/>
                <w:color w:val="666666"/>
                <w:sz w:val="18"/>
                <w:szCs w:val="18"/>
              </w:rPr>
              <w:t>Recommandation : Il faut remplacer les vitrages existants</w:t>
            </w:r>
            <w:r>
              <w:rPr>
                <w:rFonts w:ascii="Arial" w:hAnsi="Arial"/>
                <w:color w:val="666666"/>
                <w:sz w:val="18"/>
                <w:szCs w:val="18"/>
              </w:rPr>
              <w:t xml:space="preserve"> par des doubles-vitrages peu émissif pour avoir une meilleure performance thermique.</w:t>
            </w:r>
          </w:p>
          <w:p w:rsidR="00895CCE" w:rsidRDefault="00D65E8D">
            <w:r>
              <w:rPr>
                <w:rFonts w:ascii="Arial" w:hAnsi="Arial"/>
                <w:color w:val="666666"/>
                <w:sz w:val="18"/>
                <w:szCs w:val="18"/>
              </w:rPr>
              <w:t>Détail : Lors du changement, prévoir des entrées d'air de manière à garantir un renouvellement d'air minimal. Pour bénéficier du crédit d'impôts, une performance thermiqu</w:t>
            </w:r>
            <w:r>
              <w:rPr>
                <w:rFonts w:ascii="Arial" w:hAnsi="Arial"/>
                <w:color w:val="666666"/>
                <w:sz w:val="18"/>
                <w:szCs w:val="18"/>
              </w:rPr>
              <w:t>e  minimum est exigée. L'amélioration de la performance thermique des baies vitrées permet surtout de réduire l'effet "paroi froide" en hiver et donc d'abaisser les températures de consigne.</w:t>
            </w:r>
          </w:p>
        </w:tc>
      </w:tr>
      <w:tr w:rsidR="00895CCE">
        <w:trPr>
          <w:cantSplit/>
          <w:trHeight w:val="47"/>
          <w:tblHeader/>
        </w:trPr>
        <w:tc>
          <w:tcPr>
            <w:tcW w:w="3240" w:type="dxa"/>
            <w:tcBorders>
              <w:bottom w:val="single" w:sz="4" w:space="0" w:color="FFFFFF"/>
            </w:tcBorders>
            <w:vAlign w:val="center"/>
          </w:tcPr>
          <w:p w:rsidR="00895CCE" w:rsidRDefault="00D65E8D">
            <w:pPr>
              <w:rPr>
                <w:rFonts w:ascii="Arial" w:hAnsi="Arial"/>
                <w:sz w:val="18"/>
                <w:szCs w:val="18"/>
              </w:rPr>
            </w:pPr>
            <w:r>
              <w:rPr>
                <w:rFonts w:ascii="Arial" w:hAnsi="Arial"/>
                <w:sz w:val="18"/>
                <w:szCs w:val="18"/>
              </w:rPr>
              <w:t>Envisager l'installation d'une pompe à chaleur air/eau</w:t>
            </w:r>
          </w:p>
        </w:tc>
        <w:tc>
          <w:tcPr>
            <w:tcW w:w="1620" w:type="dxa"/>
            <w:tcBorders>
              <w:bottom w:val="single" w:sz="4" w:space="0" w:color="FFFFFF"/>
            </w:tcBorders>
            <w:vAlign w:val="center"/>
          </w:tcPr>
          <w:p w:rsidR="00895CCE" w:rsidRDefault="00D65E8D">
            <w:pPr>
              <w:jc w:val="center"/>
              <w:rPr>
                <w:rFonts w:ascii="Arial" w:hAnsi="Arial"/>
                <w:b/>
                <w:i/>
                <w:sz w:val="18"/>
                <w:szCs w:val="18"/>
              </w:rPr>
            </w:pPr>
            <w:r>
              <w:rPr>
                <w:rFonts w:ascii="Arial" w:hAnsi="Arial"/>
                <w:b/>
                <w:i/>
                <w:sz w:val="18"/>
                <w:szCs w:val="18"/>
              </w:rPr>
              <w:t>34</w:t>
            </w:r>
          </w:p>
        </w:tc>
        <w:tc>
          <w:tcPr>
            <w:tcW w:w="1440" w:type="dxa"/>
            <w:tcBorders>
              <w:bottom w:val="single" w:sz="4" w:space="0" w:color="FFFFFF"/>
            </w:tcBorders>
            <w:vAlign w:val="center"/>
          </w:tcPr>
          <w:p w:rsidR="00895CCE" w:rsidRDefault="00D65E8D">
            <w:pPr>
              <w:jc w:val="center"/>
              <w:rPr>
                <w:rFonts w:ascii="Arial" w:hAnsi="Arial"/>
                <w:b/>
                <w:color w:val="FF0000"/>
                <w:sz w:val="22"/>
                <w:szCs w:val="22"/>
              </w:rPr>
            </w:pPr>
            <w:r>
              <w:rPr>
                <w:rFonts w:ascii="Arial" w:hAnsi="Arial"/>
                <w:b/>
                <w:color w:val="FF0000"/>
                <w:sz w:val="22"/>
                <w:szCs w:val="22"/>
              </w:rPr>
              <w:t>€€€€</w:t>
            </w:r>
          </w:p>
        </w:tc>
        <w:tc>
          <w:tcPr>
            <w:tcW w:w="1260" w:type="dxa"/>
            <w:tcBorders>
              <w:bottom w:val="single" w:sz="4" w:space="0" w:color="FFFFFF"/>
            </w:tcBorders>
            <w:vAlign w:val="center"/>
          </w:tcPr>
          <w:p w:rsidR="00895CCE" w:rsidRDefault="00D65E8D">
            <w:pPr>
              <w:jc w:val="center"/>
              <w:rPr>
                <w:rFonts w:ascii="Wingdings 2" w:hAnsi="Wingdings 2"/>
                <w:b/>
                <w:color w:val="CC9900"/>
                <w:sz w:val="20"/>
                <w:szCs w:val="20"/>
              </w:rPr>
            </w:pPr>
            <w:r>
              <w:rPr>
                <w:rFonts w:ascii="Wingdings 2" w:hAnsi="Wingdings 2"/>
                <w:b/>
                <w:color w:val="CC9900"/>
                <w:sz w:val="20"/>
                <w:szCs w:val="20"/>
              </w:rPr>
              <w:t></w:t>
            </w:r>
            <w:r>
              <w:rPr>
                <w:rFonts w:ascii="Wingdings 2" w:hAnsi="Wingdings 2"/>
                <w:b/>
                <w:color w:val="CC9900"/>
                <w:sz w:val="20"/>
                <w:szCs w:val="20"/>
              </w:rPr>
              <w:t></w:t>
            </w:r>
            <w:r>
              <w:rPr>
                <w:rFonts w:ascii="Wingdings 2" w:hAnsi="Wingdings 2"/>
                <w:b/>
                <w:color w:val="CC9900"/>
                <w:sz w:val="20"/>
                <w:szCs w:val="20"/>
              </w:rPr>
              <w:t></w:t>
            </w:r>
            <w:r>
              <w:rPr>
                <w:rFonts w:ascii="Wingdings 2" w:hAnsi="Wingdings 2"/>
                <w:b/>
                <w:color w:val="CC9900"/>
                <w:sz w:val="20"/>
                <w:szCs w:val="20"/>
              </w:rPr>
              <w:t></w:t>
            </w:r>
          </w:p>
        </w:tc>
        <w:tc>
          <w:tcPr>
            <w:tcW w:w="1620" w:type="dxa"/>
            <w:tcBorders>
              <w:bottom w:val="single" w:sz="4" w:space="0" w:color="FFFFFF"/>
            </w:tcBorders>
            <w:vAlign w:val="center"/>
          </w:tcPr>
          <w:p w:rsidR="00895CCE" w:rsidRDefault="00D65E8D">
            <w:pPr>
              <w:jc w:val="center"/>
              <w:rPr>
                <w:rFonts w:ascii="Wingdings 2" w:hAnsi="Wingdings 2"/>
                <w:b/>
                <w:color w:val="99CC00"/>
                <w:sz w:val="20"/>
                <w:szCs w:val="20"/>
              </w:rPr>
            </w:pPr>
            <w:r>
              <w:rPr>
                <w:rFonts w:ascii="Wingdings 2" w:hAnsi="Wingdings 2"/>
                <w:b/>
                <w:color w:val="99CC00"/>
                <w:sz w:val="20"/>
                <w:szCs w:val="20"/>
              </w:rPr>
              <w:t></w:t>
            </w:r>
            <w:r>
              <w:rPr>
                <w:rFonts w:ascii="Wingdings 2" w:hAnsi="Wingdings 2"/>
                <w:b/>
                <w:color w:val="99CC00"/>
                <w:sz w:val="20"/>
                <w:szCs w:val="20"/>
              </w:rPr>
              <w:t></w:t>
            </w:r>
            <w:r>
              <w:rPr>
                <w:rFonts w:ascii="Wingdings 2" w:hAnsi="Wingdings 2"/>
                <w:b/>
                <w:color w:val="99CC00"/>
                <w:sz w:val="20"/>
                <w:szCs w:val="20"/>
              </w:rPr>
              <w:t></w:t>
            </w:r>
          </w:p>
        </w:tc>
        <w:tc>
          <w:tcPr>
            <w:tcW w:w="1620" w:type="dxa"/>
            <w:tcBorders>
              <w:bottom w:val="single" w:sz="4" w:space="0" w:color="FFFFFF"/>
            </w:tcBorders>
            <w:vAlign w:val="center"/>
          </w:tcPr>
          <w:p w:rsidR="00895CCE" w:rsidRDefault="00D65E8D">
            <w:pPr>
              <w:jc w:val="center"/>
              <w:rPr>
                <w:rFonts w:ascii="Arial" w:hAnsi="Arial"/>
                <w:b/>
                <w:i/>
                <w:sz w:val="20"/>
                <w:szCs w:val="20"/>
              </w:rPr>
            </w:pPr>
            <w:r>
              <w:rPr>
                <w:rFonts w:ascii="Arial" w:hAnsi="Arial"/>
                <w:b/>
                <w:i/>
                <w:sz w:val="20"/>
                <w:szCs w:val="20"/>
              </w:rPr>
              <w:t>30%</w:t>
            </w:r>
          </w:p>
        </w:tc>
      </w:tr>
      <w:tr w:rsidR="00895CCE">
        <w:trPr>
          <w:cantSplit/>
          <w:trHeight w:val="47"/>
          <w:tblHeader/>
        </w:trPr>
        <w:tc>
          <w:tcPr>
            <w:tcW w:w="3240" w:type="dxa"/>
            <w:gridSpan w:val="6"/>
            <w:tcBorders>
              <w:top w:val="single" w:sz="4" w:space="0" w:color="FFFFFF"/>
            </w:tcBorders>
            <w:vAlign w:val="center"/>
          </w:tcPr>
          <w:p w:rsidR="00895CCE" w:rsidRDefault="00D65E8D">
            <w:pPr>
              <w:rPr>
                <w:rFonts w:ascii="Arial" w:hAnsi="Arial"/>
                <w:color w:val="666666"/>
                <w:sz w:val="18"/>
                <w:szCs w:val="18"/>
              </w:rPr>
            </w:pPr>
            <w:r>
              <w:rPr>
                <w:rFonts w:ascii="Arial" w:hAnsi="Arial"/>
                <w:color w:val="666666"/>
                <w:sz w:val="18"/>
                <w:szCs w:val="18"/>
              </w:rPr>
              <w:t>Recommandation : Envisager l'installation d'une pompe à chaleur air/eau.</w:t>
            </w:r>
          </w:p>
          <w:p w:rsidR="00895CCE" w:rsidRDefault="00D65E8D">
            <w:r>
              <w:rPr>
                <w:rFonts w:ascii="Arial" w:hAnsi="Arial"/>
                <w:color w:val="666666"/>
                <w:sz w:val="18"/>
                <w:szCs w:val="18"/>
              </w:rPr>
              <w:t xml:space="preserve">Détail : La pompe à chaleur air/eau prélève la chaleur présente dans l'air extérieur pour chauffer de l'eau, afin d'assurer les besoins de chauffage et d'eau chaude </w:t>
            </w:r>
            <w:r>
              <w:rPr>
                <w:rFonts w:ascii="Arial" w:hAnsi="Arial"/>
                <w:color w:val="666666"/>
                <w:sz w:val="18"/>
                <w:szCs w:val="18"/>
              </w:rPr>
              <w:t>sanitaire de votre logement. En remplacement ou en complément de votre chaudière fioul ou gaz, les pompes à chaleur air/eau constituent une alternative économique et écologique aux chaudières classiques, tout en assurant votre confort.</w:t>
            </w:r>
          </w:p>
        </w:tc>
      </w:tr>
      <w:tr w:rsidR="00895CCE">
        <w:trPr>
          <w:cantSplit/>
          <w:trHeight w:val="47"/>
          <w:tblHeader/>
        </w:trPr>
        <w:tc>
          <w:tcPr>
            <w:tcW w:w="3240" w:type="dxa"/>
            <w:tcBorders>
              <w:bottom w:val="single" w:sz="4" w:space="0" w:color="FFFFFF"/>
            </w:tcBorders>
            <w:vAlign w:val="center"/>
          </w:tcPr>
          <w:p w:rsidR="00895CCE" w:rsidRDefault="00D65E8D">
            <w:pPr>
              <w:rPr>
                <w:rFonts w:ascii="Arial" w:hAnsi="Arial"/>
                <w:sz w:val="18"/>
                <w:szCs w:val="18"/>
              </w:rPr>
            </w:pPr>
            <w:r>
              <w:rPr>
                <w:rFonts w:ascii="Arial" w:hAnsi="Arial"/>
                <w:sz w:val="18"/>
                <w:szCs w:val="18"/>
              </w:rPr>
              <w:t xml:space="preserve">Envisager un ECS </w:t>
            </w:r>
            <w:r>
              <w:rPr>
                <w:rFonts w:ascii="Arial" w:hAnsi="Arial"/>
                <w:sz w:val="18"/>
                <w:szCs w:val="18"/>
              </w:rPr>
              <w:t>solaire</w:t>
            </w:r>
          </w:p>
        </w:tc>
        <w:tc>
          <w:tcPr>
            <w:tcW w:w="1620" w:type="dxa"/>
            <w:tcBorders>
              <w:bottom w:val="single" w:sz="4" w:space="0" w:color="FFFFFF"/>
            </w:tcBorders>
            <w:vAlign w:val="center"/>
          </w:tcPr>
          <w:p w:rsidR="00895CCE" w:rsidRDefault="00D65E8D">
            <w:pPr>
              <w:jc w:val="center"/>
              <w:rPr>
                <w:rFonts w:ascii="Arial" w:hAnsi="Arial"/>
                <w:b/>
                <w:i/>
                <w:sz w:val="18"/>
                <w:szCs w:val="18"/>
              </w:rPr>
            </w:pPr>
            <w:r>
              <w:rPr>
                <w:rFonts w:ascii="Arial" w:hAnsi="Arial"/>
                <w:b/>
                <w:i/>
                <w:sz w:val="18"/>
                <w:szCs w:val="18"/>
              </w:rPr>
              <w:t>136</w:t>
            </w:r>
          </w:p>
        </w:tc>
        <w:tc>
          <w:tcPr>
            <w:tcW w:w="1440" w:type="dxa"/>
            <w:tcBorders>
              <w:bottom w:val="single" w:sz="4" w:space="0" w:color="FFFFFF"/>
            </w:tcBorders>
            <w:vAlign w:val="center"/>
          </w:tcPr>
          <w:p w:rsidR="00895CCE" w:rsidRDefault="00D65E8D">
            <w:pPr>
              <w:jc w:val="center"/>
              <w:rPr>
                <w:rFonts w:ascii="Arial" w:hAnsi="Arial"/>
                <w:b/>
                <w:color w:val="FF0000"/>
                <w:sz w:val="22"/>
                <w:szCs w:val="22"/>
              </w:rPr>
            </w:pPr>
            <w:r>
              <w:rPr>
                <w:rFonts w:ascii="Arial" w:hAnsi="Arial"/>
                <w:b/>
                <w:color w:val="FF0000"/>
                <w:sz w:val="22"/>
                <w:szCs w:val="22"/>
              </w:rPr>
              <w:t>€€€</w:t>
            </w:r>
          </w:p>
        </w:tc>
        <w:tc>
          <w:tcPr>
            <w:tcW w:w="1260" w:type="dxa"/>
            <w:tcBorders>
              <w:bottom w:val="single" w:sz="4" w:space="0" w:color="FFFFFF"/>
            </w:tcBorders>
            <w:vAlign w:val="center"/>
          </w:tcPr>
          <w:p w:rsidR="00895CCE" w:rsidRDefault="00D65E8D">
            <w:pPr>
              <w:jc w:val="center"/>
              <w:rPr>
                <w:rFonts w:ascii="Wingdings 2" w:hAnsi="Wingdings 2"/>
                <w:b/>
                <w:color w:val="CC9900"/>
                <w:sz w:val="20"/>
                <w:szCs w:val="20"/>
              </w:rPr>
            </w:pPr>
            <w:r>
              <w:rPr>
                <w:rFonts w:ascii="Wingdings 2" w:hAnsi="Wingdings 2"/>
                <w:b/>
                <w:color w:val="CC9900"/>
                <w:sz w:val="20"/>
                <w:szCs w:val="20"/>
              </w:rPr>
              <w:t></w:t>
            </w:r>
          </w:p>
        </w:tc>
        <w:tc>
          <w:tcPr>
            <w:tcW w:w="1620" w:type="dxa"/>
            <w:tcBorders>
              <w:bottom w:val="single" w:sz="4" w:space="0" w:color="FFFFFF"/>
            </w:tcBorders>
            <w:vAlign w:val="center"/>
          </w:tcPr>
          <w:p w:rsidR="00895CCE" w:rsidRDefault="00D65E8D">
            <w:pPr>
              <w:jc w:val="center"/>
              <w:rPr>
                <w:rFonts w:ascii="Wingdings 2" w:hAnsi="Wingdings 2"/>
                <w:b/>
                <w:color w:val="99CC00"/>
                <w:sz w:val="20"/>
                <w:szCs w:val="20"/>
              </w:rPr>
            </w:pPr>
            <w:r>
              <w:rPr>
                <w:rFonts w:ascii="Wingdings 2" w:hAnsi="Wingdings 2"/>
                <w:b/>
                <w:color w:val="99CC00"/>
                <w:sz w:val="20"/>
                <w:szCs w:val="20"/>
              </w:rPr>
              <w:t></w:t>
            </w:r>
          </w:p>
        </w:tc>
        <w:tc>
          <w:tcPr>
            <w:tcW w:w="1620" w:type="dxa"/>
            <w:tcBorders>
              <w:bottom w:val="single" w:sz="4" w:space="0" w:color="FFFFFF"/>
            </w:tcBorders>
            <w:vAlign w:val="center"/>
          </w:tcPr>
          <w:p w:rsidR="00895CCE" w:rsidRDefault="00D65E8D">
            <w:pPr>
              <w:jc w:val="center"/>
              <w:rPr>
                <w:rFonts w:ascii="Arial" w:hAnsi="Arial"/>
                <w:b/>
                <w:i/>
                <w:sz w:val="20"/>
                <w:szCs w:val="20"/>
              </w:rPr>
            </w:pPr>
            <w:r>
              <w:rPr>
                <w:rFonts w:ascii="Arial" w:hAnsi="Arial"/>
                <w:b/>
                <w:i/>
                <w:sz w:val="20"/>
                <w:szCs w:val="20"/>
              </w:rPr>
              <w:t>30%</w:t>
            </w:r>
          </w:p>
        </w:tc>
      </w:tr>
      <w:tr w:rsidR="00895CCE">
        <w:trPr>
          <w:cantSplit/>
          <w:trHeight w:val="47"/>
          <w:tblHeader/>
        </w:trPr>
        <w:tc>
          <w:tcPr>
            <w:tcW w:w="3240" w:type="dxa"/>
            <w:gridSpan w:val="6"/>
            <w:tcBorders>
              <w:top w:val="single" w:sz="4" w:space="0" w:color="FFFFFF"/>
            </w:tcBorders>
            <w:vAlign w:val="center"/>
          </w:tcPr>
          <w:p w:rsidR="00895CCE" w:rsidRDefault="00D65E8D">
            <w:pPr>
              <w:rPr>
                <w:rFonts w:ascii="Arial" w:hAnsi="Arial"/>
                <w:color w:val="666666"/>
                <w:sz w:val="18"/>
                <w:szCs w:val="18"/>
              </w:rPr>
            </w:pPr>
            <w:r>
              <w:rPr>
                <w:rFonts w:ascii="Arial" w:hAnsi="Arial"/>
                <w:color w:val="666666"/>
                <w:sz w:val="18"/>
                <w:szCs w:val="18"/>
              </w:rPr>
              <w:t>Recommandation : Envisager une installation d'eau chaude sanitaire solaire.</w:t>
            </w:r>
          </w:p>
          <w:p w:rsidR="00895CCE" w:rsidRDefault="00D65E8D">
            <w:r>
              <w:rPr>
                <w:rFonts w:ascii="Arial" w:hAnsi="Arial"/>
                <w:color w:val="666666"/>
                <w:sz w:val="18"/>
                <w:szCs w:val="18"/>
              </w:rPr>
              <w:t xml:space="preserve">Détail : Depuis plusieurs années déjà, on se préoccupe d'économiser l'énergie et de limiter les émissions de gaz à effet de serre. Les recherches ont </w:t>
            </w:r>
            <w:r>
              <w:rPr>
                <w:rFonts w:ascii="Arial" w:hAnsi="Arial"/>
                <w:color w:val="666666"/>
                <w:sz w:val="18"/>
                <w:szCs w:val="18"/>
              </w:rPr>
              <w:t>permis de suivre des pistes prometteuses, d'élaborer des techniques performantes utilisant l'énergie solaire. Ainsi, selon les régions, le recours à l'énergie solaire permet d'envisager des économies d'énergie de l'ordre de 20 à 40 %. (ADEME). Sachez de pl</w:t>
            </w:r>
            <w:r>
              <w:rPr>
                <w:rFonts w:ascii="Arial" w:hAnsi="Arial"/>
                <w:color w:val="666666"/>
                <w:sz w:val="18"/>
                <w:szCs w:val="18"/>
              </w:rPr>
              <w:t>us que des aides financières vous permettront de financer plus facilement votre installation.</w:t>
            </w:r>
          </w:p>
        </w:tc>
      </w:tr>
      <w:tr w:rsidR="00895CCE">
        <w:trPr>
          <w:cantSplit/>
          <w:trHeight w:val="47"/>
          <w:tblHeader/>
        </w:trPr>
        <w:tc>
          <w:tcPr>
            <w:tcW w:w="3240" w:type="dxa"/>
            <w:tcBorders>
              <w:bottom w:val="single" w:sz="4" w:space="0" w:color="FFFFFF"/>
            </w:tcBorders>
            <w:vAlign w:val="center"/>
          </w:tcPr>
          <w:p w:rsidR="00895CCE" w:rsidRDefault="00D65E8D">
            <w:pPr>
              <w:rPr>
                <w:rFonts w:ascii="Arial" w:hAnsi="Arial"/>
                <w:sz w:val="18"/>
                <w:szCs w:val="18"/>
              </w:rPr>
            </w:pPr>
            <w:r>
              <w:rPr>
                <w:rFonts w:ascii="Arial" w:hAnsi="Arial"/>
                <w:sz w:val="18"/>
                <w:szCs w:val="18"/>
              </w:rPr>
              <w:t>Installation d'une VMC hygroréglable</w:t>
            </w:r>
          </w:p>
        </w:tc>
        <w:tc>
          <w:tcPr>
            <w:tcW w:w="1620" w:type="dxa"/>
            <w:tcBorders>
              <w:bottom w:val="single" w:sz="4" w:space="0" w:color="FFFFFF"/>
            </w:tcBorders>
            <w:vAlign w:val="center"/>
          </w:tcPr>
          <w:p w:rsidR="00895CCE" w:rsidRDefault="00D65E8D">
            <w:pPr>
              <w:jc w:val="center"/>
              <w:rPr>
                <w:rFonts w:ascii="Arial" w:hAnsi="Arial"/>
                <w:b/>
                <w:i/>
                <w:sz w:val="18"/>
                <w:szCs w:val="18"/>
              </w:rPr>
            </w:pPr>
            <w:r>
              <w:rPr>
                <w:rFonts w:ascii="Arial" w:hAnsi="Arial"/>
                <w:b/>
                <w:i/>
                <w:sz w:val="18"/>
                <w:szCs w:val="18"/>
              </w:rPr>
              <w:t>152</w:t>
            </w:r>
          </w:p>
        </w:tc>
        <w:tc>
          <w:tcPr>
            <w:tcW w:w="1440" w:type="dxa"/>
            <w:tcBorders>
              <w:bottom w:val="single" w:sz="4" w:space="0" w:color="FFFFFF"/>
            </w:tcBorders>
            <w:vAlign w:val="center"/>
          </w:tcPr>
          <w:p w:rsidR="00895CCE" w:rsidRDefault="00D65E8D">
            <w:pPr>
              <w:jc w:val="center"/>
              <w:rPr>
                <w:rFonts w:ascii="Arial" w:hAnsi="Arial"/>
                <w:b/>
                <w:color w:val="FF0000"/>
                <w:sz w:val="22"/>
                <w:szCs w:val="22"/>
              </w:rPr>
            </w:pPr>
            <w:r>
              <w:rPr>
                <w:rFonts w:ascii="Arial" w:hAnsi="Arial"/>
                <w:b/>
                <w:color w:val="FF0000"/>
                <w:sz w:val="22"/>
                <w:szCs w:val="22"/>
              </w:rPr>
              <w:t>€€</w:t>
            </w:r>
          </w:p>
        </w:tc>
        <w:tc>
          <w:tcPr>
            <w:tcW w:w="1260" w:type="dxa"/>
            <w:tcBorders>
              <w:bottom w:val="single" w:sz="4" w:space="0" w:color="FFFFFF"/>
            </w:tcBorders>
            <w:vAlign w:val="center"/>
          </w:tcPr>
          <w:p w:rsidR="00895CCE" w:rsidRDefault="00D65E8D">
            <w:pPr>
              <w:jc w:val="center"/>
              <w:rPr>
                <w:rFonts w:ascii="Wingdings 2" w:hAnsi="Wingdings 2"/>
                <w:b/>
                <w:color w:val="CC9900"/>
                <w:sz w:val="20"/>
                <w:szCs w:val="20"/>
              </w:rPr>
            </w:pPr>
            <w:r>
              <w:rPr>
                <w:rFonts w:ascii="Wingdings 2" w:hAnsi="Wingdings 2"/>
                <w:b/>
                <w:color w:val="CC9900"/>
                <w:sz w:val="20"/>
                <w:szCs w:val="20"/>
              </w:rPr>
              <w:t></w:t>
            </w:r>
          </w:p>
        </w:tc>
        <w:tc>
          <w:tcPr>
            <w:tcW w:w="1620" w:type="dxa"/>
            <w:tcBorders>
              <w:bottom w:val="single" w:sz="4" w:space="0" w:color="FFFFFF"/>
            </w:tcBorders>
            <w:vAlign w:val="center"/>
          </w:tcPr>
          <w:p w:rsidR="00895CCE" w:rsidRDefault="00D65E8D">
            <w:pPr>
              <w:jc w:val="center"/>
              <w:rPr>
                <w:rFonts w:ascii="Wingdings 2" w:hAnsi="Wingdings 2"/>
                <w:b/>
                <w:color w:val="99CC00"/>
                <w:sz w:val="20"/>
                <w:szCs w:val="20"/>
              </w:rPr>
            </w:pPr>
            <w:r>
              <w:rPr>
                <w:rFonts w:ascii="Wingdings 2" w:hAnsi="Wingdings 2"/>
                <w:b/>
                <w:color w:val="99CC00"/>
                <w:sz w:val="20"/>
                <w:szCs w:val="20"/>
              </w:rPr>
              <w:t></w:t>
            </w:r>
          </w:p>
        </w:tc>
        <w:tc>
          <w:tcPr>
            <w:tcW w:w="1620" w:type="dxa"/>
            <w:tcBorders>
              <w:bottom w:val="single" w:sz="4" w:space="0" w:color="FFFFFF"/>
            </w:tcBorders>
            <w:vAlign w:val="center"/>
          </w:tcPr>
          <w:p w:rsidR="00895CCE" w:rsidRDefault="00D65E8D">
            <w:pPr>
              <w:jc w:val="center"/>
              <w:rPr>
                <w:rFonts w:ascii="Arial" w:hAnsi="Arial"/>
                <w:b/>
                <w:i/>
                <w:sz w:val="20"/>
                <w:szCs w:val="20"/>
              </w:rPr>
            </w:pPr>
            <w:r>
              <w:rPr>
                <w:rFonts w:ascii="Arial" w:hAnsi="Arial"/>
                <w:b/>
                <w:i/>
                <w:sz w:val="20"/>
                <w:szCs w:val="20"/>
              </w:rPr>
              <w:t>-</w:t>
            </w:r>
          </w:p>
        </w:tc>
      </w:tr>
      <w:tr w:rsidR="00895CCE">
        <w:trPr>
          <w:cantSplit/>
          <w:trHeight w:val="47"/>
          <w:tblHeader/>
        </w:trPr>
        <w:tc>
          <w:tcPr>
            <w:tcW w:w="3240" w:type="dxa"/>
            <w:gridSpan w:val="6"/>
            <w:tcBorders>
              <w:top w:val="single" w:sz="4" w:space="0" w:color="FFFFFF"/>
            </w:tcBorders>
            <w:vAlign w:val="center"/>
          </w:tcPr>
          <w:p w:rsidR="00895CCE" w:rsidRDefault="00D65E8D">
            <w:pPr>
              <w:rPr>
                <w:rFonts w:ascii="Arial" w:hAnsi="Arial"/>
                <w:color w:val="666666"/>
                <w:sz w:val="18"/>
                <w:szCs w:val="18"/>
              </w:rPr>
            </w:pPr>
            <w:r>
              <w:rPr>
                <w:rFonts w:ascii="Arial" w:hAnsi="Arial"/>
                <w:color w:val="666666"/>
                <w:sz w:val="18"/>
                <w:szCs w:val="18"/>
              </w:rPr>
              <w:t>Recommandation : Mettre en place une ventilation mécanique contrôlée hygroréglable.</w:t>
            </w:r>
          </w:p>
          <w:p w:rsidR="00895CCE" w:rsidRDefault="00D65E8D">
            <w:r>
              <w:rPr>
                <w:rFonts w:ascii="Arial" w:hAnsi="Arial"/>
                <w:color w:val="666666"/>
                <w:sz w:val="18"/>
                <w:szCs w:val="18"/>
              </w:rPr>
              <w:t xml:space="preserve">Détail : La VMC permet de </w:t>
            </w:r>
            <w:r>
              <w:rPr>
                <w:rFonts w:ascii="Arial" w:hAnsi="Arial"/>
                <w:color w:val="666666"/>
                <w:sz w:val="18"/>
                <w:szCs w:val="18"/>
              </w:rPr>
              <w:t>renouveler l'air intérieur en fonction de l'humidité présente dans les pièces. La ventilation en sera donc optimum, ce qui limite les déperditions de chaleur en hiver</w:t>
            </w:r>
          </w:p>
        </w:tc>
      </w:tr>
    </w:tbl>
    <w:p w:rsidR="00895CCE" w:rsidRDefault="00D65E8D">
      <w:pPr>
        <w:spacing w:after="120"/>
        <w:jc w:val="both"/>
        <w:rPr>
          <w:rFonts w:ascii="Arial" w:hAnsi="Arial"/>
          <w:i/>
          <w:sz w:val="16"/>
          <w:szCs w:val="16"/>
        </w:rPr>
      </w:pPr>
      <w:r>
        <w:rPr>
          <w:rFonts w:ascii="Arial" w:hAnsi="Arial"/>
          <w:i/>
          <w:sz w:val="16"/>
          <w:szCs w:val="16"/>
        </w:rPr>
        <w:t>* Calculé sans tenir compte d’un éventuel crédit d’impôt</w:t>
      </w:r>
    </w:p>
    <w:tbl>
      <w:tblPr>
        <w:tblW w:w="0" w:type="auto"/>
        <w:jc w:val="center"/>
        <w:tblBorders>
          <w:top w:val="single" w:sz="4" w:space="0" w:color="auto"/>
          <w:left w:val="single" w:sz="4" w:space="0" w:color="auto"/>
          <w:bottom w:val="single" w:sz="4" w:space="0" w:color="auto"/>
          <w:right w:val="single" w:sz="4" w:space="0" w:color="auto"/>
          <w:insideH w:val="nil"/>
          <w:insideV w:val="single" w:sz="4" w:space="0" w:color="auto"/>
        </w:tblBorders>
        <w:tblLook w:val="01E0"/>
      </w:tblPr>
      <w:tblGrid>
        <w:gridCol w:w="3240"/>
        <w:gridCol w:w="3160"/>
        <w:gridCol w:w="2960"/>
      </w:tblGrid>
      <w:tr w:rsidR="00895CCE">
        <w:trPr>
          <w:jc w:val="center"/>
        </w:trPr>
        <w:tc>
          <w:tcPr>
            <w:tcW w:w="9360" w:type="dxa"/>
            <w:gridSpan w:val="3"/>
            <w:tcMar>
              <w:top w:w="23" w:type="dxa"/>
              <w:bottom w:w="23" w:type="dxa"/>
            </w:tcMar>
            <w:vAlign w:val="center"/>
          </w:tcPr>
          <w:p w:rsidR="00895CCE" w:rsidRDefault="00D65E8D">
            <w:pPr>
              <w:rPr>
                <w:rFonts w:ascii="Arial" w:hAnsi="Arial"/>
                <w:b/>
                <w:sz w:val="14"/>
                <w:szCs w:val="14"/>
                <w:u w:val="single"/>
              </w:rPr>
            </w:pPr>
            <w:r>
              <w:rPr>
                <w:rFonts w:ascii="Arial" w:hAnsi="Arial"/>
                <w:b/>
                <w:sz w:val="14"/>
                <w:szCs w:val="14"/>
                <w:u w:val="single"/>
              </w:rPr>
              <w:t>Légende</w:t>
            </w:r>
          </w:p>
        </w:tc>
      </w:tr>
      <w:tr w:rsidR="00895CCE">
        <w:trPr>
          <w:jc w:val="center"/>
        </w:trPr>
        <w:tc>
          <w:tcPr>
            <w:tcW w:w="3240" w:type="dxa"/>
            <w:tcBorders>
              <w:top w:val="nil"/>
              <w:bottom w:val="nil"/>
              <w:right w:val="nil"/>
            </w:tcBorders>
            <w:vAlign w:val="center"/>
          </w:tcPr>
          <w:p w:rsidR="00895CCE" w:rsidRDefault="00D65E8D">
            <w:pPr>
              <w:jc w:val="center"/>
              <w:rPr>
                <w:rFonts w:ascii="Arial" w:hAnsi="Arial"/>
                <w:b/>
                <w:sz w:val="16"/>
                <w:szCs w:val="16"/>
              </w:rPr>
            </w:pPr>
            <w:r>
              <w:rPr>
                <w:rFonts w:ascii="Arial" w:hAnsi="Arial"/>
                <w:b/>
                <w:sz w:val="16"/>
                <w:szCs w:val="16"/>
              </w:rPr>
              <w:t>Économies</w:t>
            </w:r>
          </w:p>
        </w:tc>
        <w:tc>
          <w:tcPr>
            <w:tcW w:w="3160" w:type="dxa"/>
            <w:tcBorders>
              <w:top w:val="nil"/>
              <w:left w:val="nil"/>
              <w:bottom w:val="nil"/>
              <w:right w:val="nil"/>
            </w:tcBorders>
            <w:vAlign w:val="center"/>
          </w:tcPr>
          <w:p w:rsidR="00895CCE" w:rsidRDefault="00D65E8D">
            <w:pPr>
              <w:jc w:val="center"/>
              <w:rPr>
                <w:rFonts w:ascii="Arial" w:hAnsi="Arial"/>
                <w:b/>
                <w:sz w:val="16"/>
                <w:szCs w:val="16"/>
              </w:rPr>
            </w:pPr>
            <w:r>
              <w:rPr>
                <w:rFonts w:ascii="Arial" w:hAnsi="Arial"/>
                <w:b/>
                <w:sz w:val="16"/>
                <w:szCs w:val="16"/>
              </w:rPr>
              <w:t xml:space="preserve">Effort </w:t>
            </w:r>
            <w:r>
              <w:rPr>
                <w:rFonts w:ascii="Arial" w:hAnsi="Arial"/>
                <w:b/>
                <w:sz w:val="16"/>
                <w:szCs w:val="16"/>
              </w:rPr>
              <w:t>d’investissement</w:t>
            </w:r>
          </w:p>
        </w:tc>
        <w:tc>
          <w:tcPr>
            <w:tcW w:w="2960" w:type="dxa"/>
            <w:tcBorders>
              <w:left w:val="nil"/>
            </w:tcBorders>
            <w:vAlign w:val="center"/>
          </w:tcPr>
          <w:p w:rsidR="00895CCE" w:rsidRDefault="00D65E8D">
            <w:pPr>
              <w:jc w:val="center"/>
              <w:rPr>
                <w:rFonts w:ascii="Arial" w:hAnsi="Arial"/>
                <w:b/>
                <w:sz w:val="16"/>
                <w:szCs w:val="16"/>
              </w:rPr>
            </w:pPr>
            <w:r>
              <w:rPr>
                <w:rFonts w:ascii="Arial" w:hAnsi="Arial"/>
                <w:b/>
                <w:sz w:val="16"/>
                <w:szCs w:val="16"/>
              </w:rPr>
              <w:t>Rapidité du retour sur investissement</w:t>
            </w:r>
          </w:p>
        </w:tc>
      </w:tr>
      <w:tr w:rsidR="00895CCE">
        <w:trPr>
          <w:jc w:val="center"/>
        </w:trPr>
        <w:tc>
          <w:tcPr>
            <w:tcW w:w="3240" w:type="dxa"/>
            <w:tcBorders>
              <w:top w:val="nil"/>
              <w:bottom w:val="nil"/>
              <w:right w:val="nil"/>
            </w:tcBorders>
            <w:vAlign w:val="center"/>
          </w:tcPr>
          <w:p w:rsidR="00895CCE" w:rsidRDefault="00D65E8D">
            <w:pPr>
              <w:tabs>
                <w:tab w:val="center" w:pos="1596"/>
              </w:tabs>
              <w:rPr>
                <w:rFonts w:ascii="Arial" w:hAnsi="Arial"/>
                <w:sz w:val="20"/>
                <w:szCs w:val="20"/>
              </w:rPr>
            </w:pPr>
            <w:r>
              <w:rPr>
                <w:rFonts w:ascii="Wingdings 2" w:hAnsi="Wingdings 2"/>
                <w:b/>
                <w:color w:val="CC9900"/>
                <w:sz w:val="20"/>
                <w:szCs w:val="20"/>
              </w:rPr>
              <w:tab/>
            </w:r>
            <w:r>
              <w:rPr>
                <w:rFonts w:ascii="Wingdings 2" w:hAnsi="Wingdings 2"/>
                <w:b/>
                <w:color w:val="CC9900"/>
                <w:sz w:val="20"/>
                <w:szCs w:val="20"/>
              </w:rPr>
              <w:t></w:t>
            </w:r>
            <w:r>
              <w:rPr>
                <w:rFonts w:ascii="Arial" w:hAnsi="Arial"/>
                <w:sz w:val="16"/>
                <w:szCs w:val="16"/>
              </w:rPr>
              <w:t>: moins de 100 € TTC/an</w:t>
            </w:r>
          </w:p>
        </w:tc>
        <w:tc>
          <w:tcPr>
            <w:tcW w:w="3160" w:type="dxa"/>
            <w:tcBorders>
              <w:top w:val="nil"/>
              <w:left w:val="nil"/>
              <w:bottom w:val="nil"/>
              <w:right w:val="nil"/>
            </w:tcBorders>
            <w:vAlign w:val="center"/>
          </w:tcPr>
          <w:p w:rsidR="00895CCE" w:rsidRDefault="00D65E8D">
            <w:pPr>
              <w:tabs>
                <w:tab w:val="center" w:pos="1475"/>
              </w:tabs>
              <w:rPr>
                <w:rFonts w:ascii="Arial" w:hAnsi="Arial"/>
                <w:sz w:val="20"/>
                <w:szCs w:val="20"/>
              </w:rPr>
            </w:pPr>
            <w:r>
              <w:rPr>
                <w:rFonts w:ascii="Arial" w:hAnsi="Arial"/>
                <w:b/>
                <w:color w:val="FF0000"/>
                <w:sz w:val="22"/>
                <w:szCs w:val="22"/>
              </w:rPr>
              <w:tab/>
              <w:t>€</w:t>
            </w:r>
            <w:r>
              <w:rPr>
                <w:rFonts w:ascii="Arial" w:hAnsi="Arial"/>
                <w:sz w:val="20"/>
                <w:szCs w:val="20"/>
              </w:rPr>
              <w:t xml:space="preserve">: </w:t>
            </w:r>
            <w:r>
              <w:rPr>
                <w:rFonts w:ascii="Arial" w:hAnsi="Arial"/>
                <w:sz w:val="16"/>
                <w:szCs w:val="16"/>
              </w:rPr>
              <w:t>moins de 200 € TTC</w:t>
            </w:r>
          </w:p>
        </w:tc>
        <w:tc>
          <w:tcPr>
            <w:tcW w:w="2960" w:type="dxa"/>
            <w:tcBorders>
              <w:left w:val="nil"/>
            </w:tcBorders>
            <w:vAlign w:val="center"/>
          </w:tcPr>
          <w:p w:rsidR="00895CCE" w:rsidRDefault="00D65E8D">
            <w:pPr>
              <w:tabs>
                <w:tab w:val="center" w:pos="1150"/>
              </w:tabs>
              <w:rPr>
                <w:rFonts w:ascii="Arial" w:hAnsi="Arial"/>
                <w:sz w:val="20"/>
                <w:szCs w:val="20"/>
              </w:rPr>
            </w:pPr>
            <w:r>
              <w:rPr>
                <w:rFonts w:ascii="Wingdings 2" w:hAnsi="Wingdings 2"/>
                <w:b/>
                <w:color w:val="99CC00"/>
                <w:sz w:val="20"/>
                <w:szCs w:val="20"/>
              </w:rPr>
              <w:tab/>
            </w:r>
            <w:r>
              <w:rPr>
                <w:rFonts w:ascii="Wingdings 2" w:hAnsi="Wingdings 2"/>
                <w:b/>
                <w:color w:val="99CC00"/>
                <w:sz w:val="20"/>
                <w:szCs w:val="20"/>
              </w:rPr>
              <w:t></w:t>
            </w:r>
            <w:r>
              <w:rPr>
                <w:rFonts w:ascii="Wingdings 2" w:hAnsi="Wingdings 2"/>
                <w:b/>
                <w:color w:val="99CC00"/>
                <w:sz w:val="20"/>
                <w:szCs w:val="20"/>
              </w:rPr>
              <w:t></w:t>
            </w:r>
            <w:r>
              <w:rPr>
                <w:rFonts w:ascii="Wingdings 2" w:hAnsi="Wingdings 2"/>
                <w:b/>
                <w:color w:val="99CC00"/>
                <w:sz w:val="20"/>
                <w:szCs w:val="20"/>
              </w:rPr>
              <w:t></w:t>
            </w:r>
            <w:r>
              <w:rPr>
                <w:rFonts w:ascii="Wingdings 2" w:hAnsi="Wingdings 2"/>
                <w:b/>
                <w:color w:val="99CC00"/>
                <w:sz w:val="20"/>
                <w:szCs w:val="20"/>
              </w:rPr>
              <w:t></w:t>
            </w:r>
            <w:r>
              <w:rPr>
                <w:rFonts w:ascii="Arial" w:hAnsi="Arial"/>
                <w:sz w:val="20"/>
                <w:szCs w:val="20"/>
              </w:rPr>
              <w:t xml:space="preserve">: </w:t>
            </w:r>
            <w:r>
              <w:rPr>
                <w:rFonts w:ascii="Arial" w:hAnsi="Arial"/>
                <w:sz w:val="16"/>
                <w:szCs w:val="16"/>
              </w:rPr>
              <w:t>moins de 5 ans</w:t>
            </w:r>
          </w:p>
        </w:tc>
      </w:tr>
      <w:tr w:rsidR="00895CCE">
        <w:trPr>
          <w:jc w:val="center"/>
        </w:trPr>
        <w:tc>
          <w:tcPr>
            <w:tcW w:w="3240" w:type="dxa"/>
            <w:tcBorders>
              <w:top w:val="nil"/>
              <w:bottom w:val="nil"/>
              <w:right w:val="nil"/>
            </w:tcBorders>
            <w:vAlign w:val="center"/>
          </w:tcPr>
          <w:p w:rsidR="00895CCE" w:rsidRDefault="00D65E8D">
            <w:pPr>
              <w:tabs>
                <w:tab w:val="center" w:pos="1596"/>
              </w:tabs>
              <w:rPr>
                <w:rFonts w:ascii="Arial" w:hAnsi="Arial"/>
                <w:sz w:val="20"/>
                <w:szCs w:val="20"/>
              </w:rPr>
            </w:pPr>
            <w:r>
              <w:rPr>
                <w:rFonts w:ascii="Wingdings 2" w:hAnsi="Wingdings 2"/>
                <w:b/>
                <w:color w:val="CC9900"/>
                <w:sz w:val="20"/>
                <w:szCs w:val="20"/>
              </w:rPr>
              <w:tab/>
            </w:r>
            <w:r>
              <w:rPr>
                <w:rFonts w:ascii="Wingdings 2" w:hAnsi="Wingdings 2"/>
                <w:b/>
                <w:color w:val="CC9900"/>
                <w:sz w:val="20"/>
                <w:szCs w:val="20"/>
              </w:rPr>
              <w:t></w:t>
            </w:r>
            <w:r>
              <w:rPr>
                <w:rFonts w:ascii="Wingdings 2" w:hAnsi="Wingdings 2"/>
                <w:b/>
                <w:color w:val="CC9900"/>
                <w:sz w:val="20"/>
                <w:szCs w:val="20"/>
              </w:rPr>
              <w:t></w:t>
            </w:r>
            <w:r>
              <w:rPr>
                <w:rFonts w:ascii="Arial" w:hAnsi="Arial"/>
                <w:sz w:val="20"/>
                <w:szCs w:val="20"/>
              </w:rPr>
              <w:t>:</w:t>
            </w:r>
            <w:r>
              <w:rPr>
                <w:rFonts w:ascii="Arial" w:hAnsi="Arial"/>
                <w:sz w:val="16"/>
                <w:szCs w:val="16"/>
              </w:rPr>
              <w:t>de 100 à 200 € TTC/an</w:t>
            </w:r>
          </w:p>
        </w:tc>
        <w:tc>
          <w:tcPr>
            <w:tcW w:w="3160" w:type="dxa"/>
            <w:tcBorders>
              <w:top w:val="nil"/>
              <w:left w:val="nil"/>
              <w:bottom w:val="nil"/>
              <w:right w:val="nil"/>
            </w:tcBorders>
            <w:vAlign w:val="center"/>
          </w:tcPr>
          <w:p w:rsidR="00895CCE" w:rsidRDefault="00D65E8D">
            <w:pPr>
              <w:tabs>
                <w:tab w:val="center" w:pos="1475"/>
              </w:tabs>
              <w:rPr>
                <w:rFonts w:ascii="Arial" w:hAnsi="Arial"/>
                <w:sz w:val="20"/>
                <w:szCs w:val="20"/>
              </w:rPr>
            </w:pPr>
            <w:r>
              <w:rPr>
                <w:rFonts w:ascii="Arial" w:hAnsi="Arial"/>
                <w:b/>
                <w:color w:val="FF0000"/>
                <w:sz w:val="22"/>
                <w:szCs w:val="22"/>
              </w:rPr>
              <w:tab/>
              <w:t>€€</w:t>
            </w:r>
            <w:r>
              <w:rPr>
                <w:rFonts w:ascii="Arial" w:hAnsi="Arial"/>
                <w:sz w:val="20"/>
                <w:szCs w:val="20"/>
              </w:rPr>
              <w:t xml:space="preserve">: </w:t>
            </w:r>
            <w:r>
              <w:rPr>
                <w:rFonts w:ascii="Arial" w:hAnsi="Arial"/>
                <w:sz w:val="16"/>
                <w:szCs w:val="16"/>
              </w:rPr>
              <w:t>de 200 à 1000 € TTC</w:t>
            </w:r>
          </w:p>
        </w:tc>
        <w:tc>
          <w:tcPr>
            <w:tcW w:w="2960" w:type="dxa"/>
            <w:tcBorders>
              <w:left w:val="nil"/>
            </w:tcBorders>
            <w:vAlign w:val="center"/>
          </w:tcPr>
          <w:p w:rsidR="00895CCE" w:rsidRDefault="00D65E8D">
            <w:pPr>
              <w:tabs>
                <w:tab w:val="center" w:pos="1150"/>
              </w:tabs>
              <w:rPr>
                <w:rFonts w:ascii="Arial" w:hAnsi="Arial"/>
                <w:sz w:val="20"/>
                <w:szCs w:val="20"/>
              </w:rPr>
            </w:pPr>
            <w:r>
              <w:rPr>
                <w:rFonts w:ascii="Wingdings 2" w:hAnsi="Wingdings 2"/>
                <w:b/>
                <w:color w:val="99CC00"/>
                <w:sz w:val="20"/>
                <w:szCs w:val="20"/>
              </w:rPr>
              <w:tab/>
            </w:r>
            <w:r>
              <w:rPr>
                <w:rFonts w:ascii="Wingdings 2" w:hAnsi="Wingdings 2"/>
                <w:b/>
                <w:color w:val="99CC00"/>
                <w:sz w:val="20"/>
                <w:szCs w:val="20"/>
              </w:rPr>
              <w:t></w:t>
            </w:r>
            <w:r>
              <w:rPr>
                <w:rFonts w:ascii="Wingdings 2" w:hAnsi="Wingdings 2"/>
                <w:b/>
                <w:color w:val="99CC00"/>
                <w:sz w:val="20"/>
                <w:szCs w:val="20"/>
              </w:rPr>
              <w:t></w:t>
            </w:r>
            <w:r>
              <w:rPr>
                <w:rFonts w:ascii="Wingdings 2" w:hAnsi="Wingdings 2"/>
                <w:b/>
                <w:color w:val="99CC00"/>
                <w:sz w:val="20"/>
                <w:szCs w:val="20"/>
              </w:rPr>
              <w:t></w:t>
            </w:r>
            <w:r>
              <w:rPr>
                <w:rFonts w:ascii="Arial" w:hAnsi="Arial"/>
                <w:sz w:val="20"/>
                <w:szCs w:val="20"/>
              </w:rPr>
              <w:t xml:space="preserve">: </w:t>
            </w:r>
            <w:r>
              <w:rPr>
                <w:rFonts w:ascii="Arial" w:hAnsi="Arial"/>
                <w:sz w:val="16"/>
                <w:szCs w:val="16"/>
              </w:rPr>
              <w:t>de 5 à 10 ans</w:t>
            </w:r>
          </w:p>
        </w:tc>
      </w:tr>
      <w:tr w:rsidR="00895CCE">
        <w:trPr>
          <w:jc w:val="center"/>
        </w:trPr>
        <w:tc>
          <w:tcPr>
            <w:tcW w:w="3240" w:type="dxa"/>
            <w:tcBorders>
              <w:top w:val="nil"/>
              <w:bottom w:val="nil"/>
              <w:right w:val="nil"/>
            </w:tcBorders>
            <w:vAlign w:val="center"/>
          </w:tcPr>
          <w:p w:rsidR="00895CCE" w:rsidRDefault="00D65E8D">
            <w:pPr>
              <w:tabs>
                <w:tab w:val="center" w:pos="1596"/>
              </w:tabs>
              <w:rPr>
                <w:rFonts w:ascii="Arial" w:hAnsi="Arial"/>
                <w:sz w:val="20"/>
                <w:szCs w:val="20"/>
              </w:rPr>
            </w:pPr>
            <w:r>
              <w:rPr>
                <w:rFonts w:ascii="Wingdings 2" w:hAnsi="Wingdings 2"/>
                <w:b/>
                <w:color w:val="CC9900"/>
                <w:sz w:val="20"/>
                <w:szCs w:val="20"/>
              </w:rPr>
              <w:tab/>
            </w:r>
            <w:r>
              <w:rPr>
                <w:rFonts w:ascii="Wingdings 2" w:hAnsi="Wingdings 2"/>
                <w:b/>
                <w:color w:val="CC9900"/>
                <w:sz w:val="20"/>
                <w:szCs w:val="20"/>
              </w:rPr>
              <w:t></w:t>
            </w:r>
            <w:r>
              <w:rPr>
                <w:rFonts w:ascii="Wingdings 2" w:hAnsi="Wingdings 2"/>
                <w:b/>
                <w:color w:val="CC9900"/>
                <w:sz w:val="20"/>
                <w:szCs w:val="20"/>
              </w:rPr>
              <w:t></w:t>
            </w:r>
            <w:r>
              <w:rPr>
                <w:rFonts w:ascii="Wingdings 2" w:hAnsi="Wingdings 2"/>
                <w:b/>
                <w:color w:val="CC9900"/>
                <w:sz w:val="20"/>
                <w:szCs w:val="20"/>
              </w:rPr>
              <w:t></w:t>
            </w:r>
            <w:r>
              <w:rPr>
                <w:rFonts w:ascii="Arial" w:hAnsi="Arial"/>
                <w:sz w:val="20"/>
                <w:szCs w:val="20"/>
              </w:rPr>
              <w:t xml:space="preserve">: </w:t>
            </w:r>
            <w:r>
              <w:rPr>
                <w:rFonts w:ascii="Arial" w:hAnsi="Arial"/>
                <w:sz w:val="16"/>
                <w:szCs w:val="16"/>
              </w:rPr>
              <w:t>de 200 à 300 € TTC/an</w:t>
            </w:r>
          </w:p>
        </w:tc>
        <w:tc>
          <w:tcPr>
            <w:tcW w:w="3160" w:type="dxa"/>
            <w:tcBorders>
              <w:top w:val="nil"/>
              <w:left w:val="nil"/>
              <w:bottom w:val="nil"/>
              <w:right w:val="nil"/>
            </w:tcBorders>
            <w:vAlign w:val="center"/>
          </w:tcPr>
          <w:p w:rsidR="00895CCE" w:rsidRDefault="00D65E8D">
            <w:pPr>
              <w:tabs>
                <w:tab w:val="center" w:pos="1475"/>
              </w:tabs>
              <w:rPr>
                <w:rFonts w:ascii="Arial" w:hAnsi="Arial"/>
                <w:sz w:val="20"/>
                <w:szCs w:val="20"/>
              </w:rPr>
            </w:pPr>
            <w:r>
              <w:rPr>
                <w:rFonts w:ascii="Arial" w:hAnsi="Arial"/>
                <w:b/>
                <w:color w:val="FF0000"/>
                <w:sz w:val="22"/>
                <w:szCs w:val="22"/>
              </w:rPr>
              <w:tab/>
              <w:t>€€€</w:t>
            </w:r>
            <w:r>
              <w:rPr>
                <w:rFonts w:ascii="Arial" w:hAnsi="Arial"/>
                <w:sz w:val="20"/>
                <w:szCs w:val="20"/>
              </w:rPr>
              <w:t xml:space="preserve">: </w:t>
            </w:r>
            <w:r>
              <w:rPr>
                <w:rFonts w:ascii="Arial" w:hAnsi="Arial"/>
                <w:sz w:val="16"/>
                <w:szCs w:val="16"/>
              </w:rPr>
              <w:t>de 1000 à 5000 € TTC</w:t>
            </w:r>
          </w:p>
        </w:tc>
        <w:tc>
          <w:tcPr>
            <w:tcW w:w="2960" w:type="dxa"/>
            <w:tcBorders>
              <w:left w:val="nil"/>
            </w:tcBorders>
            <w:vAlign w:val="center"/>
          </w:tcPr>
          <w:p w:rsidR="00895CCE" w:rsidRDefault="00D65E8D">
            <w:pPr>
              <w:tabs>
                <w:tab w:val="center" w:pos="1150"/>
              </w:tabs>
              <w:rPr>
                <w:rFonts w:ascii="Arial" w:hAnsi="Arial"/>
                <w:sz w:val="20"/>
                <w:szCs w:val="20"/>
              </w:rPr>
            </w:pPr>
            <w:r>
              <w:rPr>
                <w:rFonts w:ascii="Wingdings 2" w:hAnsi="Wingdings 2"/>
                <w:b/>
                <w:color w:val="99CC00"/>
                <w:sz w:val="20"/>
                <w:szCs w:val="20"/>
              </w:rPr>
              <w:tab/>
            </w:r>
            <w:r>
              <w:rPr>
                <w:rFonts w:ascii="Wingdings 2" w:hAnsi="Wingdings 2"/>
                <w:b/>
                <w:color w:val="99CC00"/>
                <w:sz w:val="20"/>
                <w:szCs w:val="20"/>
              </w:rPr>
              <w:t></w:t>
            </w:r>
            <w:r>
              <w:rPr>
                <w:rFonts w:ascii="Wingdings 2" w:hAnsi="Wingdings 2"/>
                <w:b/>
                <w:color w:val="99CC00"/>
                <w:sz w:val="20"/>
                <w:szCs w:val="20"/>
              </w:rPr>
              <w:t></w:t>
            </w:r>
            <w:r>
              <w:rPr>
                <w:rFonts w:ascii="Arial" w:hAnsi="Arial"/>
                <w:sz w:val="20"/>
                <w:szCs w:val="20"/>
              </w:rPr>
              <w:t xml:space="preserve">: </w:t>
            </w:r>
            <w:r>
              <w:rPr>
                <w:rFonts w:ascii="Arial" w:hAnsi="Arial"/>
                <w:sz w:val="16"/>
                <w:szCs w:val="16"/>
              </w:rPr>
              <w:t>de 10 à 15 ans</w:t>
            </w:r>
          </w:p>
        </w:tc>
      </w:tr>
      <w:tr w:rsidR="00895CCE">
        <w:trPr>
          <w:jc w:val="center"/>
        </w:trPr>
        <w:tc>
          <w:tcPr>
            <w:tcW w:w="3240" w:type="dxa"/>
            <w:tcBorders>
              <w:top w:val="nil"/>
              <w:bottom w:val="single" w:sz="4" w:space="0" w:color="auto"/>
              <w:right w:val="nil"/>
            </w:tcBorders>
            <w:tcMar>
              <w:top w:w="23" w:type="dxa"/>
              <w:bottom w:w="23" w:type="dxa"/>
            </w:tcMar>
            <w:vAlign w:val="center"/>
          </w:tcPr>
          <w:p w:rsidR="00895CCE" w:rsidRDefault="00D65E8D">
            <w:pPr>
              <w:tabs>
                <w:tab w:val="center" w:pos="1596"/>
              </w:tabs>
              <w:rPr>
                <w:rFonts w:ascii="Arial" w:hAnsi="Arial"/>
                <w:sz w:val="20"/>
                <w:szCs w:val="20"/>
              </w:rPr>
            </w:pPr>
            <w:r>
              <w:rPr>
                <w:rFonts w:ascii="Wingdings 2" w:hAnsi="Wingdings 2"/>
                <w:b/>
                <w:color w:val="CC9900"/>
                <w:sz w:val="20"/>
                <w:szCs w:val="20"/>
              </w:rPr>
              <w:tab/>
            </w:r>
            <w:r>
              <w:rPr>
                <w:rFonts w:ascii="Wingdings 2" w:hAnsi="Wingdings 2"/>
                <w:b/>
                <w:color w:val="CC9900"/>
                <w:sz w:val="20"/>
                <w:szCs w:val="20"/>
              </w:rPr>
              <w:t></w:t>
            </w:r>
            <w:r>
              <w:rPr>
                <w:rFonts w:ascii="Wingdings 2" w:hAnsi="Wingdings 2"/>
                <w:b/>
                <w:color w:val="CC9900"/>
                <w:sz w:val="20"/>
                <w:szCs w:val="20"/>
              </w:rPr>
              <w:t></w:t>
            </w:r>
            <w:r>
              <w:rPr>
                <w:rFonts w:ascii="Wingdings 2" w:hAnsi="Wingdings 2"/>
                <w:b/>
                <w:color w:val="CC9900"/>
                <w:sz w:val="20"/>
                <w:szCs w:val="20"/>
              </w:rPr>
              <w:t></w:t>
            </w:r>
            <w:r>
              <w:rPr>
                <w:rFonts w:ascii="Wingdings 2" w:hAnsi="Wingdings 2"/>
                <w:b/>
                <w:color w:val="CC9900"/>
                <w:sz w:val="20"/>
                <w:szCs w:val="20"/>
              </w:rPr>
              <w:t></w:t>
            </w:r>
            <w:r>
              <w:rPr>
                <w:rFonts w:ascii="Arial" w:hAnsi="Arial"/>
                <w:sz w:val="20"/>
                <w:szCs w:val="20"/>
              </w:rPr>
              <w:t xml:space="preserve">: </w:t>
            </w:r>
            <w:r>
              <w:rPr>
                <w:rFonts w:ascii="Arial" w:hAnsi="Arial"/>
                <w:sz w:val="16"/>
                <w:szCs w:val="16"/>
              </w:rPr>
              <w:t xml:space="preserve">plus de 300 € TTC/an </w:t>
            </w:r>
          </w:p>
        </w:tc>
        <w:tc>
          <w:tcPr>
            <w:tcW w:w="3160" w:type="dxa"/>
            <w:tcBorders>
              <w:top w:val="nil"/>
              <w:left w:val="nil"/>
              <w:bottom w:val="single" w:sz="4" w:space="0" w:color="auto"/>
              <w:right w:val="nil"/>
            </w:tcBorders>
            <w:tcMar>
              <w:top w:w="23" w:type="dxa"/>
              <w:bottom w:w="23" w:type="dxa"/>
            </w:tcMar>
            <w:vAlign w:val="center"/>
          </w:tcPr>
          <w:p w:rsidR="00895CCE" w:rsidRDefault="00D65E8D">
            <w:pPr>
              <w:tabs>
                <w:tab w:val="center" w:pos="1333"/>
              </w:tabs>
              <w:rPr>
                <w:rFonts w:ascii="Arial" w:hAnsi="Arial"/>
                <w:sz w:val="20"/>
                <w:szCs w:val="20"/>
              </w:rPr>
            </w:pPr>
            <w:r>
              <w:rPr>
                <w:rFonts w:ascii="Arial" w:hAnsi="Arial"/>
                <w:b/>
                <w:color w:val="FF0000"/>
                <w:sz w:val="22"/>
                <w:szCs w:val="22"/>
              </w:rPr>
              <w:tab/>
              <w:t>€€€€</w:t>
            </w:r>
            <w:r>
              <w:rPr>
                <w:rFonts w:ascii="Arial" w:hAnsi="Arial"/>
                <w:sz w:val="20"/>
                <w:szCs w:val="20"/>
              </w:rPr>
              <w:t xml:space="preserve">: </w:t>
            </w:r>
            <w:r>
              <w:rPr>
                <w:rFonts w:ascii="Arial" w:hAnsi="Arial"/>
                <w:sz w:val="16"/>
                <w:szCs w:val="16"/>
              </w:rPr>
              <w:t>plus de 5000 € TTC</w:t>
            </w:r>
          </w:p>
        </w:tc>
        <w:tc>
          <w:tcPr>
            <w:tcW w:w="2960" w:type="dxa"/>
            <w:tcBorders>
              <w:left w:val="nil"/>
            </w:tcBorders>
            <w:tcMar>
              <w:top w:w="23" w:type="dxa"/>
              <w:bottom w:w="23" w:type="dxa"/>
            </w:tcMar>
            <w:vAlign w:val="center"/>
          </w:tcPr>
          <w:p w:rsidR="00895CCE" w:rsidRDefault="00D65E8D">
            <w:pPr>
              <w:tabs>
                <w:tab w:val="center" w:pos="1150"/>
              </w:tabs>
              <w:rPr>
                <w:rFonts w:ascii="Arial" w:hAnsi="Arial"/>
                <w:sz w:val="20"/>
                <w:szCs w:val="20"/>
              </w:rPr>
            </w:pPr>
            <w:r>
              <w:rPr>
                <w:rFonts w:ascii="Wingdings 2" w:hAnsi="Wingdings 2"/>
                <w:b/>
                <w:color w:val="99CC00"/>
                <w:sz w:val="20"/>
                <w:szCs w:val="20"/>
              </w:rPr>
              <w:tab/>
            </w:r>
            <w:r>
              <w:rPr>
                <w:rFonts w:ascii="Wingdings 2" w:hAnsi="Wingdings 2"/>
                <w:b/>
                <w:color w:val="99CC00"/>
                <w:sz w:val="20"/>
                <w:szCs w:val="20"/>
              </w:rPr>
              <w:t></w:t>
            </w:r>
            <w:r>
              <w:rPr>
                <w:rFonts w:ascii="Arial" w:hAnsi="Arial"/>
                <w:sz w:val="20"/>
                <w:szCs w:val="20"/>
              </w:rPr>
              <w:t xml:space="preserve">: </w:t>
            </w:r>
            <w:r>
              <w:rPr>
                <w:rFonts w:ascii="Arial" w:hAnsi="Arial"/>
                <w:sz w:val="16"/>
                <w:szCs w:val="16"/>
              </w:rPr>
              <w:t>plus de 15 ans</w:t>
            </w:r>
          </w:p>
        </w:tc>
      </w:tr>
    </w:tbl>
    <w:p w:rsidR="00895CCE" w:rsidRDefault="00895CCE">
      <w:pPr>
        <w:rPr>
          <w:rFonts w:ascii="Arial" w:hAnsi="Arial"/>
          <w:sz w:val="12"/>
          <w:szCs w:val="12"/>
          <w:u w:val="single"/>
        </w:rPr>
      </w:pPr>
    </w:p>
    <w:p w:rsidR="00895CCE" w:rsidRDefault="00D65E8D">
      <w:pPr>
        <w:jc w:val="both"/>
        <w:rPr>
          <w:rFonts w:ascii="Arial" w:hAnsi="Arial"/>
          <w:color w:val="000000"/>
          <w:sz w:val="18"/>
          <w:szCs w:val="18"/>
        </w:rPr>
      </w:pPr>
      <w:r>
        <w:rPr>
          <w:rFonts w:ascii="Arial" w:hAnsi="Arial"/>
          <w:b/>
          <w:sz w:val="20"/>
          <w:szCs w:val="20"/>
          <w:u w:val="single"/>
        </w:rPr>
        <w:t>Commentaires</w:t>
      </w:r>
      <w:r>
        <w:rPr>
          <w:rFonts w:ascii="Arial" w:hAnsi="Arial"/>
          <w:color w:val="000000"/>
          <w:sz w:val="18"/>
          <w:szCs w:val="18"/>
        </w:rPr>
        <w:t>Néant</w:t>
      </w:r>
      <w:r>
        <w:br/>
      </w:r>
      <w:r>
        <w:br/>
      </w:r>
      <w:r>
        <w:rPr>
          <w:rFonts w:ascii="Arial" w:hAnsi="Arial"/>
          <w:b/>
          <w:color w:val="000000"/>
          <w:sz w:val="18"/>
          <w:szCs w:val="18"/>
          <w:u w:val="single"/>
        </w:rPr>
        <w:t>Références réglementaires et logiciel utilisés :</w:t>
      </w:r>
      <w:r>
        <w:rPr>
          <w:rFonts w:ascii="Arial" w:hAnsi="Arial"/>
          <w:color w:val="000000"/>
          <w:sz w:val="18"/>
          <w:szCs w:val="18"/>
        </w:rPr>
        <w:t xml:space="preserve"> Article L134-4-2 du CCH et décret n° 2011-807 du 5 juillet 2011 relatif à la transmission des diagnostics de performance énergétique à l'Agence de l'environnement et de la maîtrise de l'énergie, arrêté du 27 janvier 2012 relatif à l'utilisation réglementa</w:t>
      </w:r>
      <w:r>
        <w:rPr>
          <w:rFonts w:ascii="Arial" w:hAnsi="Arial"/>
          <w:color w:val="000000"/>
          <w:sz w:val="18"/>
          <w:szCs w:val="18"/>
        </w:rPr>
        <w:t>ire des logiciels pour l'élaboration des diagnostics de performance énergétique, arrêté du 17 octobre 2012, arrêté du 1er décembre 2015, 22 mars 2017arrêtés du 8 février 2012, décret 2006-1653, 2006-1114, 2008-1175 ; Ordonnance 2005-655 art L271-4 à 6 ; Lo</w:t>
      </w:r>
      <w:r>
        <w:rPr>
          <w:rFonts w:ascii="Arial" w:hAnsi="Arial"/>
          <w:color w:val="000000"/>
          <w:sz w:val="18"/>
          <w:szCs w:val="18"/>
        </w:rPr>
        <w:t>i 2004-1334 art L134-1 à 5 ; décret 2006-1147 art R.134-1 à 5 du CCH et loi grenelle 2 n°2010-786 du juillet 2010. Logiciel utilisé : LICIEL Diagnostics v4.</w:t>
      </w:r>
    </w:p>
    <w:p w:rsidR="00895CCE" w:rsidRDefault="00895CCE">
      <w:pPr>
        <w:rPr>
          <w:rFonts w:ascii="Arial" w:hAnsi="Arial"/>
          <w:sz w:val="18"/>
          <w:szCs w:val="18"/>
          <w:u w:val="single"/>
        </w:rPr>
      </w:pPr>
    </w:p>
    <w:p w:rsidR="00895CCE" w:rsidRDefault="00D65E8D">
      <w:pPr>
        <w:rPr>
          <w:rFonts w:ascii="Arial" w:hAnsi="Arial"/>
          <w:color w:val="000000"/>
          <w:sz w:val="18"/>
          <w:szCs w:val="18"/>
        </w:rPr>
      </w:pPr>
      <w:r>
        <w:rPr>
          <w:rFonts w:ascii="Arial" w:hAnsi="Arial"/>
          <w:color w:val="000000"/>
          <w:sz w:val="18"/>
          <w:szCs w:val="18"/>
        </w:rPr>
        <w:t>Les travaux sont à réaliser par un professionnel qualifié.</w:t>
      </w:r>
    </w:p>
    <w:p w:rsidR="00895CCE" w:rsidRDefault="00D65E8D">
      <w:pPr>
        <w:rPr>
          <w:rFonts w:ascii="Arial" w:hAnsi="Arial"/>
          <w:color w:val="000000"/>
          <w:sz w:val="18"/>
          <w:szCs w:val="18"/>
        </w:rPr>
      </w:pPr>
      <w:r>
        <w:rPr>
          <w:rFonts w:ascii="Arial" w:hAnsi="Arial"/>
          <w:color w:val="000000"/>
          <w:sz w:val="18"/>
          <w:szCs w:val="18"/>
        </w:rPr>
        <w:t>Pour aller plus loin, il existe des poi</w:t>
      </w:r>
      <w:r>
        <w:rPr>
          <w:rFonts w:ascii="Arial" w:hAnsi="Arial"/>
          <w:color w:val="000000"/>
          <w:sz w:val="18"/>
          <w:szCs w:val="18"/>
        </w:rPr>
        <w:t xml:space="preserve">nts info-énergie : </w:t>
      </w:r>
      <w:r>
        <w:rPr>
          <w:rFonts w:ascii="Arial" w:hAnsi="Arial"/>
          <w:color w:val="000000"/>
          <w:sz w:val="18"/>
          <w:szCs w:val="18"/>
          <w:u w:val="single"/>
        </w:rPr>
        <w:t>http://www.ademe.fr/particuliers/PIE/liste_eie.asp</w:t>
      </w:r>
    </w:p>
    <w:p w:rsidR="00895CCE" w:rsidRDefault="00D65E8D">
      <w:pPr>
        <w:rPr>
          <w:rFonts w:ascii="Arial" w:hAnsi="Arial"/>
          <w:color w:val="000000"/>
          <w:sz w:val="18"/>
          <w:szCs w:val="18"/>
        </w:rPr>
      </w:pPr>
      <w:r>
        <w:rPr>
          <w:rFonts w:ascii="Arial" w:hAnsi="Arial"/>
          <w:color w:val="000000"/>
          <w:sz w:val="18"/>
          <w:szCs w:val="18"/>
        </w:rPr>
        <w:t>Vous pouvez peut-être bénéficier d’un crédit d’impôt pour réduire le prix d’achat des fournitures, pensez-y !</w:t>
      </w:r>
    </w:p>
    <w:p w:rsidR="00895CCE" w:rsidRDefault="00895CCE">
      <w:pPr>
        <w:rPr>
          <w:rFonts w:ascii="Arial" w:hAnsi="Arial"/>
          <w:sz w:val="18"/>
          <w:szCs w:val="18"/>
          <w:u w:val="single"/>
        </w:rPr>
      </w:pPr>
      <w:hyperlink r:id="rId11">
        <w:r w:rsidR="00D65E8D">
          <w:rPr>
            <w:rStyle w:val="Lienhypertexte"/>
            <w:rFonts w:ascii="Arial" w:hAnsi="Arial"/>
            <w:sz w:val="18"/>
            <w:szCs w:val="18"/>
          </w:rPr>
          <w:t>www.impots.gouv.fr</w:t>
        </w:r>
      </w:hyperlink>
    </w:p>
    <w:p w:rsidR="00895CCE" w:rsidRDefault="00895CCE">
      <w:pPr>
        <w:rPr>
          <w:rFonts w:ascii="Arial" w:hAnsi="Arial"/>
          <w:sz w:val="18"/>
          <w:szCs w:val="18"/>
          <w:u w:val="single"/>
        </w:rPr>
      </w:pPr>
    </w:p>
    <w:p w:rsidR="00895CCE" w:rsidRDefault="00D65E8D">
      <w:pPr>
        <w:rPr>
          <w:rFonts w:ascii="Arial" w:hAnsi="Arial"/>
          <w:sz w:val="18"/>
          <w:szCs w:val="18"/>
          <w:u w:val="single"/>
        </w:rPr>
      </w:pPr>
      <w:r>
        <w:rPr>
          <w:rFonts w:ascii="Arial" w:hAnsi="Arial"/>
          <w:sz w:val="18"/>
          <w:szCs w:val="18"/>
        </w:rPr>
        <w:t>Pour plus d’i</w:t>
      </w:r>
      <w:r>
        <w:rPr>
          <w:rFonts w:ascii="Arial" w:hAnsi="Arial"/>
          <w:sz w:val="18"/>
          <w:szCs w:val="18"/>
        </w:rPr>
        <w:t xml:space="preserve">nformations : </w:t>
      </w:r>
      <w:hyperlink r:id="rId12">
        <w:r>
          <w:rPr>
            <w:rStyle w:val="Lienhypertexte"/>
            <w:rFonts w:ascii="Arial" w:hAnsi="Arial"/>
            <w:sz w:val="18"/>
            <w:szCs w:val="18"/>
          </w:rPr>
          <w:t>www.developpement-durable.gouv.fr</w:t>
        </w:r>
      </w:hyperlink>
      <w:r>
        <w:rPr>
          <w:rFonts w:ascii="Arial" w:hAnsi="Arial"/>
          <w:sz w:val="18"/>
          <w:szCs w:val="18"/>
        </w:rPr>
        <w:t xml:space="preserve"> ou </w:t>
      </w:r>
      <w:hyperlink r:id="rId13">
        <w:r>
          <w:rPr>
            <w:rStyle w:val="Lienhypertexte"/>
            <w:rFonts w:ascii="Arial" w:hAnsi="Arial"/>
            <w:sz w:val="18"/>
            <w:szCs w:val="18"/>
          </w:rPr>
          <w:t>www.ademe.fr</w:t>
        </w:r>
      </w:hyperlink>
    </w:p>
    <w:p w:rsidR="00895CCE" w:rsidRDefault="00895CCE">
      <w:pPr>
        <w:pBdr>
          <w:bottom w:val="single" w:sz="4" w:space="0" w:color="auto"/>
        </w:pBdr>
        <w:rPr>
          <w:rFonts w:ascii="Arial" w:hAnsi="Arial"/>
          <w:sz w:val="18"/>
          <w:szCs w:val="18"/>
        </w:rPr>
      </w:pPr>
    </w:p>
    <w:p w:rsidR="00895CCE" w:rsidRDefault="00895CCE">
      <w:pPr>
        <w:rPr>
          <w:rFonts w:ascii="Arial" w:hAnsi="Arial"/>
          <w:sz w:val="18"/>
          <w:szCs w:val="18"/>
          <w:u w:val="single"/>
        </w:rPr>
      </w:pPr>
    </w:p>
    <w:p w:rsidR="00895CCE" w:rsidRDefault="00D65E8D">
      <w:pPr>
        <w:pStyle w:val="xl33"/>
        <w:tabs>
          <w:tab w:val="left" w:pos="900"/>
        </w:tabs>
        <w:spacing w:before="0" w:beforeAutospacing="0" w:after="0" w:afterAutospacing="0"/>
        <w:ind w:left="900" w:hanging="900"/>
        <w:jc w:val="both"/>
        <w:rPr>
          <w:rFonts w:ascii="Arial" w:hAnsi="Arial"/>
          <w:i/>
          <w:sz w:val="18"/>
          <w:szCs w:val="18"/>
        </w:rPr>
      </w:pPr>
      <w:r>
        <w:rPr>
          <w:rFonts w:ascii="Arial" w:hAnsi="Arial"/>
          <w:b w:val="0"/>
          <w:i/>
          <w:sz w:val="18"/>
          <w:szCs w:val="18"/>
        </w:rPr>
        <w:t>Nota :</w:t>
      </w:r>
      <w:r>
        <w:rPr>
          <w:rFonts w:ascii="Arial" w:hAnsi="Arial"/>
          <w:b w:val="0"/>
          <w:i/>
          <w:sz w:val="18"/>
          <w:szCs w:val="18"/>
        </w:rPr>
        <w:tab/>
        <w:t xml:space="preserve">Le présent rapport est établi par une personne dont les compétences sont certifiées par </w:t>
      </w:r>
      <w:r>
        <w:rPr>
          <w:rFonts w:ascii="Arial" w:hAnsi="Arial"/>
          <w:i/>
          <w:sz w:val="18"/>
          <w:szCs w:val="18"/>
        </w:rPr>
        <w:t>BUREAU VERITAS CERTIFICATION France - Le Guillaumet 92046 PARIS LA DEFENSE CEDEX (détail sur www.cofrac.fr programme n°4-4-11)</w:t>
      </w:r>
    </w:p>
    <w:p w:rsidR="00895CCE" w:rsidRDefault="00895CCE">
      <w:pPr>
        <w:rPr>
          <w:rFonts w:ascii="Arial" w:hAnsi="Arial"/>
          <w:sz w:val="20"/>
          <w:szCs w:val="20"/>
          <w:u w:val="single"/>
        </w:rPr>
      </w:pPr>
    </w:p>
    <w:p w:rsidR="00895CCE" w:rsidRDefault="00895CCE">
      <w:pPr>
        <w:rPr>
          <w:rFonts w:ascii="Arial" w:hAnsi="Arial"/>
          <w:sz w:val="2"/>
          <w:szCs w:val="2"/>
        </w:rPr>
      </w:pPr>
    </w:p>
    <w:p w:rsidR="00895CCE" w:rsidRDefault="00895CCE">
      <w:pPr>
        <w:rPr>
          <w:rFonts w:ascii="Arial" w:hAnsi="Arial"/>
          <w:sz w:val="4"/>
          <w:szCs w:val="4"/>
          <w:u w:val="single"/>
        </w:rPr>
      </w:pPr>
    </w:p>
    <w:p w:rsidR="00895CCE" w:rsidRDefault="00D65E8D">
      <w:pPr>
        <w:rPr>
          <w:rFonts w:ascii="Arial" w:hAnsi="Arial"/>
          <w:sz w:val="2"/>
          <w:szCs w:val="2"/>
        </w:rPr>
      </w:pPr>
      <w:r>
        <w:rPr>
          <w:rFonts w:ascii="Arial" w:hAnsi="Arial"/>
          <w:sz w:val="2"/>
          <w:szCs w:val="2"/>
        </w:rPr>
        <w:br w:type="page"/>
      </w:r>
    </w:p>
    <w:tbl>
      <w:tblPr>
        <w:tblW w:w="10800" w:type="dxa"/>
        <w:tblInd w:w="85" w:type="dxa"/>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23" w:type="dxa"/>
          <w:left w:w="85" w:type="dxa"/>
          <w:bottom w:w="23" w:type="dxa"/>
          <w:right w:w="85" w:type="dxa"/>
        </w:tblCellMar>
        <w:tblLook w:val="01E0"/>
      </w:tblPr>
      <w:tblGrid>
        <w:gridCol w:w="5400"/>
        <w:gridCol w:w="5400"/>
      </w:tblGrid>
      <w:tr w:rsidR="00895CCE">
        <w:tc>
          <w:tcPr>
            <w:tcW w:w="5400" w:type="dxa"/>
            <w:tcBorders>
              <w:left w:val="nil"/>
              <w:right w:val="single" w:sz="4" w:space="0" w:color="auto"/>
            </w:tcBorders>
            <w:vAlign w:val="center"/>
          </w:tcPr>
          <w:p w:rsidR="00895CCE" w:rsidRDefault="00D65E8D">
            <w:pPr>
              <w:tabs>
                <w:tab w:val="left" w:leader="dot" w:pos="2042"/>
              </w:tabs>
              <w:ind w:left="2041" w:hanging="2041"/>
              <w:rPr>
                <w:rFonts w:ascii="Arial" w:hAnsi="Arial"/>
              </w:rPr>
            </w:pPr>
            <w:r>
              <w:rPr>
                <w:rFonts w:ascii="Arial" w:hAnsi="Arial"/>
                <w:sz w:val="18"/>
                <w:szCs w:val="18"/>
              </w:rPr>
              <w:t>Référence du logiciel validé :</w:t>
            </w:r>
            <w:r>
              <w:rPr>
                <w:rFonts w:ascii="Arial" w:hAnsi="Arial"/>
                <w:sz w:val="20"/>
                <w:szCs w:val="20"/>
              </w:rPr>
              <w:t>LICIEL Diagnostics v4</w:t>
            </w:r>
          </w:p>
        </w:tc>
        <w:tc>
          <w:tcPr>
            <w:tcW w:w="5400" w:type="dxa"/>
            <w:tcBorders>
              <w:left w:val="single" w:sz="4" w:space="0" w:color="auto"/>
            </w:tcBorders>
            <w:vAlign w:val="center"/>
          </w:tcPr>
          <w:p w:rsidR="00895CCE" w:rsidRDefault="00D65E8D">
            <w:pPr>
              <w:pStyle w:val="En-tte"/>
              <w:tabs>
                <w:tab w:val="clear" w:pos="4536"/>
                <w:tab w:val="clear" w:pos="9072"/>
                <w:tab w:val="left" w:leader="dot" w:pos="1420"/>
              </w:tabs>
              <w:ind w:left="1420" w:hanging="1420"/>
              <w:rPr>
                <w:rFonts w:ascii="Arial" w:hAnsi="Arial"/>
                <w:sz w:val="18"/>
                <w:szCs w:val="18"/>
              </w:rPr>
            </w:pPr>
            <w:r>
              <w:rPr>
                <w:rFonts w:ascii="Arial" w:hAnsi="Arial"/>
                <w:sz w:val="18"/>
                <w:szCs w:val="18"/>
              </w:rPr>
              <w:t>Référence du DPE :19/IMO/03957</w:t>
            </w:r>
          </w:p>
        </w:tc>
      </w:tr>
    </w:tbl>
    <w:p w:rsidR="00895CCE" w:rsidRDefault="00D65E8D">
      <w:pPr>
        <w:pBdr>
          <w:bottom w:val="single" w:sz="4" w:space="0" w:color="auto"/>
        </w:pBdr>
        <w:spacing w:before="120"/>
        <w:jc w:val="center"/>
        <w:rPr>
          <w:rFonts w:ascii="Arial" w:hAnsi="Arial"/>
          <w:b/>
          <w:sz w:val="36"/>
          <w:szCs w:val="36"/>
        </w:rPr>
      </w:pPr>
      <w:r>
        <w:rPr>
          <w:rFonts w:ascii="Arial" w:hAnsi="Arial"/>
          <w:b/>
          <w:sz w:val="36"/>
          <w:szCs w:val="36"/>
        </w:rPr>
        <w:t>Diagnostic de performance énergétique</w:t>
      </w:r>
    </w:p>
    <w:p w:rsidR="00895CCE" w:rsidRDefault="00D65E8D">
      <w:pPr>
        <w:pBdr>
          <w:bottom w:val="single" w:sz="4" w:space="0" w:color="auto"/>
        </w:pBdr>
        <w:spacing w:after="120"/>
        <w:jc w:val="center"/>
        <w:rPr>
          <w:rFonts w:ascii="Arial" w:hAnsi="Arial"/>
          <w:sz w:val="26"/>
          <w:szCs w:val="26"/>
        </w:rPr>
      </w:pPr>
      <w:r>
        <w:rPr>
          <w:rFonts w:ascii="Arial" w:hAnsi="Arial"/>
          <w:sz w:val="26"/>
          <w:szCs w:val="26"/>
        </w:rPr>
        <w:t>Fiche Technique</w:t>
      </w:r>
    </w:p>
    <w:p w:rsidR="00895CCE" w:rsidRDefault="00D65E8D">
      <w:pPr>
        <w:pStyle w:val="Corpsdetexte3"/>
        <w:spacing w:before="120" w:after="0"/>
        <w:rPr>
          <w:rFonts w:ascii="Arial" w:hAnsi="Arial"/>
          <w:b w:val="0"/>
          <w:sz w:val="18"/>
          <w:szCs w:val="18"/>
        </w:rPr>
      </w:pPr>
      <w:r>
        <w:rPr>
          <w:rFonts w:ascii="Arial" w:hAnsi="Arial"/>
          <w:b w:val="0"/>
          <w:sz w:val="18"/>
          <w:szCs w:val="18"/>
        </w:rPr>
        <w:t>Cette page recense les caractéristiques techniques du bien diagnostiqué renseignées par le diagnostiqueur dans la méthode de calcul pour en évaluer la consommation énergétique.</w:t>
      </w:r>
    </w:p>
    <w:p w:rsidR="00895CCE" w:rsidRDefault="00D65E8D">
      <w:pPr>
        <w:pStyle w:val="Corpsdetexte3"/>
        <w:spacing w:after="120"/>
        <w:rPr>
          <w:rFonts w:ascii="Arial" w:hAnsi="Arial"/>
          <w:b w:val="0"/>
          <w:sz w:val="18"/>
          <w:szCs w:val="18"/>
        </w:rPr>
      </w:pPr>
      <w:r>
        <w:rPr>
          <w:rFonts w:ascii="Arial" w:hAnsi="Arial"/>
          <w:b w:val="0"/>
          <w:sz w:val="18"/>
          <w:szCs w:val="18"/>
        </w:rPr>
        <w:t>En cas de problème, contactez la personne ayant réalisé ce docu</w:t>
      </w:r>
      <w:r>
        <w:rPr>
          <w:rFonts w:ascii="Arial" w:hAnsi="Arial"/>
          <w:b w:val="0"/>
          <w:sz w:val="18"/>
          <w:szCs w:val="18"/>
        </w:rPr>
        <w:t xml:space="preserve">ment ou l’organisme certificateur qui l’a certifiée (diagnostiqueurs.application.developpement-durable.gouv.fr). </w:t>
      </w:r>
    </w:p>
    <w:tbl>
      <w:tblPr>
        <w:tblW w:w="0" w:type="auto"/>
        <w:tblInd w:w="85" w:type="dxa"/>
        <w:tblBorders>
          <w:top w:val="single" w:sz="4" w:space="0" w:color="auto"/>
          <w:left w:val="nil"/>
          <w:bottom w:val="single" w:sz="4" w:space="0" w:color="auto"/>
          <w:right w:val="nil"/>
          <w:insideH w:val="single" w:sz="4" w:space="0" w:color="auto"/>
          <w:insideV w:val="nil"/>
        </w:tblBorders>
        <w:tblCellMar>
          <w:top w:w="23" w:type="dxa"/>
          <w:left w:w="85" w:type="dxa"/>
          <w:bottom w:w="23" w:type="dxa"/>
          <w:right w:w="85" w:type="dxa"/>
        </w:tblCellMar>
        <w:tblLook w:val="01E0"/>
      </w:tblPr>
      <w:tblGrid>
        <w:gridCol w:w="632"/>
        <w:gridCol w:w="2912"/>
        <w:gridCol w:w="7229"/>
      </w:tblGrid>
      <w:tr w:rsidR="00895CCE">
        <w:tc>
          <w:tcPr>
            <w:tcW w:w="0" w:type="auto"/>
          </w:tcPr>
          <w:p w:rsidR="00895CCE" w:rsidRDefault="00D65E8D">
            <w:pPr>
              <w:tabs>
                <w:tab w:val="left" w:pos="129"/>
                <w:tab w:val="left" w:leader="dot" w:pos="2042"/>
              </w:tabs>
              <w:ind w:left="2042" w:hanging="2042"/>
              <w:jc w:val="center"/>
              <w:rPr>
                <w:rFonts w:ascii="Arial" w:hAnsi="Arial"/>
                <w:b/>
                <w:sz w:val="10"/>
                <w:szCs w:val="10"/>
              </w:rPr>
            </w:pPr>
            <w:r>
              <w:rPr>
                <w:rFonts w:ascii="Arial" w:hAnsi="Arial"/>
                <w:b/>
                <w:sz w:val="10"/>
                <w:szCs w:val="10"/>
              </w:rPr>
              <w:t>Catégorie</w:t>
            </w:r>
          </w:p>
        </w:tc>
        <w:tc>
          <w:tcPr>
            <w:tcW w:w="2912" w:type="dxa"/>
          </w:tcPr>
          <w:p w:rsidR="00895CCE" w:rsidRDefault="00D65E8D">
            <w:pPr>
              <w:tabs>
                <w:tab w:val="left" w:leader="dot" w:pos="9128"/>
              </w:tabs>
              <w:jc w:val="center"/>
              <w:rPr>
                <w:rFonts w:ascii="Arial" w:hAnsi="Arial"/>
                <w:b/>
                <w:sz w:val="14"/>
                <w:szCs w:val="14"/>
              </w:rPr>
            </w:pPr>
            <w:r>
              <w:rPr>
                <w:rFonts w:ascii="Arial" w:hAnsi="Arial"/>
                <w:b/>
                <w:sz w:val="14"/>
                <w:szCs w:val="14"/>
              </w:rPr>
              <w:t>Données d’entrée</w:t>
            </w:r>
          </w:p>
        </w:tc>
        <w:tc>
          <w:tcPr>
            <w:tcW w:w="7229" w:type="dxa"/>
          </w:tcPr>
          <w:p w:rsidR="00895CCE" w:rsidRDefault="00D65E8D">
            <w:pPr>
              <w:pStyle w:val="En-tte"/>
              <w:tabs>
                <w:tab w:val="clear" w:pos="4536"/>
                <w:tab w:val="clear" w:pos="9072"/>
                <w:tab w:val="left" w:leader="dot" w:pos="7569"/>
              </w:tabs>
              <w:ind w:left="23"/>
              <w:jc w:val="center"/>
              <w:rPr>
                <w:rFonts w:ascii="Arial" w:hAnsi="Arial"/>
                <w:b/>
                <w:sz w:val="14"/>
                <w:szCs w:val="14"/>
              </w:rPr>
            </w:pPr>
            <w:r>
              <w:rPr>
                <w:rFonts w:ascii="Arial" w:hAnsi="Arial"/>
                <w:b/>
                <w:sz w:val="14"/>
                <w:szCs w:val="14"/>
              </w:rPr>
              <w:t>Valeurs renseignées</w:t>
            </w:r>
          </w:p>
        </w:tc>
      </w:tr>
      <w:tr w:rsidR="00895CCE">
        <w:tc>
          <w:tcPr>
            <w:tcW w:w="0" w:type="auto"/>
            <w:vMerge w:val="restart"/>
            <w:textDirection w:val="btLr"/>
            <w:vAlign w:val="center"/>
          </w:tcPr>
          <w:p w:rsidR="00895CCE" w:rsidRDefault="00D65E8D">
            <w:pPr>
              <w:tabs>
                <w:tab w:val="left" w:pos="129"/>
                <w:tab w:val="left" w:leader="dot" w:pos="2042"/>
              </w:tabs>
              <w:ind w:left="2155" w:right="113" w:hanging="2042"/>
              <w:jc w:val="center"/>
              <w:rPr>
                <w:rFonts w:ascii="Arial" w:hAnsi="Arial"/>
                <w:sz w:val="16"/>
                <w:szCs w:val="16"/>
              </w:rPr>
            </w:pPr>
            <w:r>
              <w:rPr>
                <w:rFonts w:ascii="Arial" w:hAnsi="Arial"/>
                <w:sz w:val="16"/>
                <w:szCs w:val="16"/>
              </w:rPr>
              <w:t>Généralité</w:t>
            </w: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Département</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26  Drôme</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Altitude</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119 m</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Type de bâtiment</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Maison Individuelle</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Année de construction</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1970</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Surface habitable du lot</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84,50 m²</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Nombre de niveau</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2</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Hauteur moyenne sous plafond</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2,5 m</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Nombre de logement du bâtiment</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1</w:t>
            </w:r>
          </w:p>
        </w:tc>
      </w:tr>
      <w:tr w:rsidR="00895CCE">
        <w:tc>
          <w:tcPr>
            <w:tcW w:w="0" w:type="auto"/>
            <w:vMerge w:val="restart"/>
            <w:textDirection w:val="btLr"/>
            <w:vAlign w:val="center"/>
          </w:tcPr>
          <w:p w:rsidR="00895CCE" w:rsidRDefault="00D65E8D">
            <w:pPr>
              <w:tabs>
                <w:tab w:val="left" w:pos="129"/>
                <w:tab w:val="left" w:leader="dot" w:pos="2042"/>
              </w:tabs>
              <w:ind w:left="113" w:right="113"/>
              <w:jc w:val="center"/>
              <w:rPr>
                <w:rFonts w:ascii="Arial" w:hAnsi="Arial"/>
                <w:sz w:val="16"/>
                <w:szCs w:val="16"/>
              </w:rPr>
            </w:pPr>
            <w:r>
              <w:rPr>
                <w:rFonts w:ascii="Arial" w:hAnsi="Arial"/>
                <w:sz w:val="16"/>
                <w:szCs w:val="16"/>
              </w:rPr>
              <w:t>Enveloppe</w:t>
            </w: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murs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Murs en parpaings avec cloison brique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37 m², Donnant sur : l'extérieur, U : 0,6 W/m²°C, b : 1</w:t>
            </w:r>
            <w:r>
              <w:br/>
            </w:r>
            <w:r>
              <w:rPr>
                <w:rFonts w:ascii="Arial" w:hAnsi="Arial"/>
                <w:sz w:val="16"/>
                <w:szCs w:val="16"/>
              </w:rPr>
              <w:t>Béton banché d'épaisseur 20 cm ou moins donnant sur un garage avec isolation intérieure (réalisée entre 1948 et 1974)</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3 m², Donnant sur : un garage, U : 2 W/m²°C, b : 0,75</w:t>
            </w:r>
            <w:r>
              <w:br/>
            </w:r>
            <w:r>
              <w:rPr>
                <w:rFonts w:ascii="Arial" w:hAnsi="Arial"/>
                <w:sz w:val="16"/>
                <w:szCs w:val="16"/>
              </w:rPr>
              <w:t>Mu</w:t>
            </w:r>
            <w:r>
              <w:rPr>
                <w:rFonts w:ascii="Arial" w:hAnsi="Arial"/>
                <w:sz w:val="16"/>
                <w:szCs w:val="16"/>
              </w:rPr>
              <w:t>r en placoplatre isolé donnant sur un local non chauffé</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6 m², Donnant sur : un garage, U : 0,32 W/m²°C, b : 0,75</w:t>
            </w:r>
          </w:p>
        </w:tc>
      </w:tr>
      <w:tr w:rsidR="00895CCE">
        <w:tc>
          <w:tcPr>
            <w:tcW w:w="0" w:type="auto"/>
            <w:vMerge/>
          </w:tcPr>
          <w:p w:rsidR="00895CCE" w:rsidRDefault="00895CCE">
            <w:pPr>
              <w:tabs>
                <w:tab w:val="left" w:pos="129"/>
                <w:tab w:val="left" w:leader="dot" w:pos="2042"/>
              </w:tabs>
              <w:ind w:left="113" w:right="113"/>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planchers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Dalle béton donnant sur un terre-plein avec isolation intrinsèque ou en sous-face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36 m², Donnant sur : un terre-plein, U : 0,3 W/m²°C, b : 1</w:t>
            </w:r>
          </w:p>
        </w:tc>
      </w:tr>
      <w:tr w:rsidR="00895CCE">
        <w:tc>
          <w:tcPr>
            <w:tcW w:w="0" w:type="auto"/>
            <w:vMerge/>
          </w:tcPr>
          <w:p w:rsidR="00895CCE" w:rsidRDefault="00895CCE">
            <w:pPr>
              <w:tabs>
                <w:tab w:val="left" w:pos="129"/>
                <w:tab w:val="left" w:leader="dot" w:pos="2042"/>
              </w:tabs>
              <w:ind w:left="113" w:right="113"/>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plafonds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Dalle béton donnant sur un comble faiblement ventilé avec isolation intérieure (5 cm)</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48 m², Donnant sur : un comble faiblement ventilé, U </w:t>
            </w:r>
            <w:r>
              <w:rPr>
                <w:rFonts w:ascii="Arial" w:hAnsi="Arial"/>
                <w:sz w:val="16"/>
                <w:szCs w:val="16"/>
              </w:rPr>
              <w:t>: 0,61 W/m²°C, b : 0,7</w:t>
            </w:r>
          </w:p>
        </w:tc>
      </w:tr>
      <w:tr w:rsidR="00895CCE">
        <w:tc>
          <w:tcPr>
            <w:tcW w:w="0" w:type="auto"/>
            <w:vMerge/>
          </w:tcPr>
          <w:p w:rsidR="00895CCE" w:rsidRDefault="00895CCE">
            <w:pPr>
              <w:tabs>
                <w:tab w:val="left" w:pos="129"/>
                <w:tab w:val="left" w:leader="dot" w:pos="2042"/>
              </w:tabs>
              <w:ind w:left="113" w:right="113"/>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baies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Fenêtres battantes bois, orientées Ouest,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2,14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3,5 W/m²°C, Uw : 4,7 W/m²°C, b : 1</w:t>
            </w:r>
            <w:r>
              <w:br/>
            </w:r>
            <w:r>
              <w:rPr>
                <w:rFonts w:ascii="Arial" w:hAnsi="Arial"/>
                <w:sz w:val="16"/>
                <w:szCs w:val="16"/>
              </w:rPr>
              <w:t>Fenêtres fixes bois, orientées Ouest,</w:t>
            </w:r>
            <w:r>
              <w:rPr>
                <w:rFonts w:ascii="Arial" w:hAnsi="Arial"/>
                <w:sz w:val="16"/>
                <w:szCs w:val="16"/>
              </w:rPr>
              <w:t xml:space="preserve">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0,77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3,5 W/m²°C, Uw : 4,7 W/m²°C, b : 1</w:t>
            </w:r>
            <w:r>
              <w:br/>
            </w:r>
            <w:r>
              <w:rPr>
                <w:rFonts w:ascii="Arial" w:hAnsi="Arial"/>
                <w:sz w:val="16"/>
                <w:szCs w:val="16"/>
              </w:rPr>
              <w:t>Fenêtres battantes bois, orientées Ouest,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1,54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w:t>
            </w:r>
            <w:r>
              <w:rPr>
                <w:rFonts w:ascii="Arial" w:hAnsi="Arial"/>
                <w:sz w:val="16"/>
                <w:szCs w:val="16"/>
              </w:rPr>
              <w:t>: 3,5 W/m²°C, Uw : 4,7 W/m²°C, b : 1</w:t>
            </w:r>
            <w:r>
              <w:br/>
            </w:r>
            <w:r>
              <w:rPr>
                <w:rFonts w:ascii="Arial" w:hAnsi="Arial"/>
                <w:sz w:val="16"/>
                <w:szCs w:val="16"/>
              </w:rPr>
              <w:t>Portes-fenêtres battantes bois, orientées Ouest,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2,01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3,7 W/m²°C, Uw : 4,8 W/m²°C, b : 1</w:t>
            </w:r>
            <w:r>
              <w:br/>
            </w:r>
            <w:r>
              <w:rPr>
                <w:rFonts w:ascii="Arial" w:hAnsi="Arial"/>
                <w:sz w:val="16"/>
                <w:szCs w:val="16"/>
              </w:rPr>
              <w:t>Fenêtres battantes bois, orientées Est, simpl</w:t>
            </w:r>
            <w:r>
              <w:rPr>
                <w:rFonts w:ascii="Arial" w:hAnsi="Arial"/>
                <w:sz w:val="16"/>
                <w:szCs w:val="16"/>
              </w:rPr>
              <w:t>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1,22 m², Orientation : 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4,7 W/m²°C, Uw : 4,7 W/m²°C, b : 1</w:t>
            </w:r>
            <w:r>
              <w:br/>
            </w:r>
            <w:r>
              <w:rPr>
                <w:rFonts w:ascii="Arial" w:hAnsi="Arial"/>
                <w:sz w:val="16"/>
                <w:szCs w:val="16"/>
              </w:rPr>
              <w:t>Fenêtres battantes bois, orientées Ouest,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2,1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3,5 W/m</w:t>
            </w:r>
            <w:r>
              <w:rPr>
                <w:rFonts w:ascii="Arial" w:hAnsi="Arial"/>
                <w:sz w:val="16"/>
                <w:szCs w:val="16"/>
              </w:rPr>
              <w:t>²°C, Uw : 4,7 W/m²°C, b : 1</w:t>
            </w:r>
            <w:r>
              <w:br/>
            </w:r>
            <w:r>
              <w:rPr>
                <w:rFonts w:ascii="Arial" w:hAnsi="Arial"/>
                <w:sz w:val="16"/>
                <w:szCs w:val="16"/>
              </w:rPr>
              <w:t>Fenêtres battantes bois, orientées 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2,1 m², Orientation : 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3,5 W/m²°C, Uw : 4,7 W/m²°C, b : 1</w:t>
            </w:r>
            <w:r>
              <w:br/>
            </w:r>
            <w:r>
              <w:rPr>
                <w:rFonts w:ascii="Arial" w:hAnsi="Arial"/>
                <w:sz w:val="16"/>
                <w:szCs w:val="16"/>
              </w:rPr>
              <w:t>Portes-fenêtres battantes bois, orientées 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w:t>
            </w:r>
            <w:r>
              <w:rPr>
                <w:rFonts w:ascii="Arial" w:hAnsi="Arial"/>
                <w:sz w:val="16"/>
                <w:szCs w:val="16"/>
              </w:rPr>
              <w:t xml:space="preserve">urface : 3,29 m², Orientation : 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3,7 W/m²°C, Uw : 4,8 W/m²°C, b : 1</w:t>
            </w:r>
            <w:r>
              <w:br/>
            </w:r>
            <w:r>
              <w:rPr>
                <w:rFonts w:ascii="Arial" w:hAnsi="Arial"/>
                <w:sz w:val="16"/>
                <w:szCs w:val="16"/>
              </w:rPr>
              <w:t>Fenêtres battantes bois, orientées Ouest, simple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1,15 m², Orientation : Ouest, Inclinaison : &gt; 75 °, </w:t>
            </w:r>
          </w:p>
          <w:p w:rsidR="00895CCE" w:rsidRDefault="00D65E8D">
            <w:pPr>
              <w:pStyle w:val="En-tte"/>
              <w:tabs>
                <w:tab w:val="clear" w:pos="4536"/>
                <w:tab w:val="clear" w:pos="9072"/>
                <w:tab w:val="left" w:leader="dot" w:pos="7569"/>
              </w:tabs>
              <w:ind w:left="23"/>
            </w:pPr>
            <w:r>
              <w:rPr>
                <w:rFonts w:ascii="Arial" w:hAnsi="Arial"/>
                <w:sz w:val="16"/>
                <w:szCs w:val="16"/>
              </w:rPr>
              <w:t xml:space="preserve">   Ujn : 4,7 W/m²°C, Uw : 4,7</w:t>
            </w:r>
            <w:r>
              <w:rPr>
                <w:rFonts w:ascii="Arial" w:hAnsi="Arial"/>
                <w:sz w:val="16"/>
                <w:szCs w:val="16"/>
              </w:rPr>
              <w:t xml:space="preserve"> W/m²°C, b : 1</w:t>
            </w:r>
          </w:p>
        </w:tc>
      </w:tr>
      <w:tr w:rsidR="00895CCE">
        <w:tc>
          <w:tcPr>
            <w:tcW w:w="0" w:type="auto"/>
            <w:vMerge/>
          </w:tcPr>
          <w:p w:rsidR="00895CCE" w:rsidRDefault="00895CCE">
            <w:pPr>
              <w:tabs>
                <w:tab w:val="left" w:pos="129"/>
                <w:tab w:val="left" w:leader="dot" w:pos="2042"/>
              </w:tabs>
              <w:ind w:left="113" w:right="113"/>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portes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Porte(s) métal avec moins de 30% de double vitrage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2,02 m², U : 5,5 W/m²°C, b : 1</w:t>
            </w:r>
            <w:r>
              <w:br/>
            </w:r>
            <w:r>
              <w:rPr>
                <w:rFonts w:ascii="Arial" w:hAnsi="Arial"/>
                <w:sz w:val="16"/>
                <w:szCs w:val="16"/>
              </w:rPr>
              <w:t>Porte(s) bois opaque pleine</w:t>
            </w:r>
          </w:p>
          <w:p w:rsidR="00895CCE" w:rsidRDefault="00D65E8D">
            <w:pPr>
              <w:pStyle w:val="En-tte"/>
              <w:tabs>
                <w:tab w:val="clear" w:pos="4536"/>
                <w:tab w:val="clear" w:pos="9072"/>
                <w:tab w:val="left" w:leader="dot" w:pos="7569"/>
              </w:tabs>
              <w:ind w:left="23"/>
            </w:pPr>
            <w:r>
              <w:rPr>
                <w:rFonts w:ascii="Arial" w:hAnsi="Arial"/>
                <w:sz w:val="16"/>
                <w:szCs w:val="16"/>
              </w:rPr>
              <w:t xml:space="preserve">   Surface : 2 m², U : 3,5 W/m²°C, b : 0,75</w:t>
            </w:r>
          </w:p>
        </w:tc>
      </w:tr>
      <w:tr w:rsidR="00895CCE">
        <w:tc>
          <w:tcPr>
            <w:tcW w:w="0" w:type="auto"/>
            <w:vMerge/>
          </w:tcPr>
          <w:p w:rsidR="00895CCE" w:rsidRDefault="00895CCE">
            <w:pPr>
              <w:tabs>
                <w:tab w:val="left" w:pos="129"/>
                <w:tab w:val="left" w:leader="dot" w:pos="2042"/>
              </w:tabs>
              <w:ind w:left="113" w:right="113"/>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des ponts thermiques</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Définition des ponts thermiques</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Ouest :  Psi : 0, Linéaire : 5,86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Ouest :  Psi : 0, Linéaire : 3,6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Ouest :  Psi : 0, Linéaire : 5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Portes-fenêtres Ouest :  Psi : 0, Linéaire : 5,3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Porte :  Psi : 0, Linéaire : 5,35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Est :  Psi : 0, Linéaire : 6,24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Ouest :  Psi : 0, Linéaire : 5,8 m, </w:t>
            </w:r>
          </w:p>
          <w:p w:rsidR="00895CCE" w:rsidRDefault="00D65E8D">
            <w:pPr>
              <w:pStyle w:val="En-tte"/>
              <w:tabs>
                <w:tab w:val="clear" w:pos="4536"/>
                <w:tab w:val="clear" w:pos="9072"/>
                <w:tab w:val="left" w:leader="dot" w:pos="7569"/>
              </w:tabs>
              <w:ind w:left="23"/>
            </w:pPr>
            <w:r>
              <w:rPr>
                <w:rFonts w:ascii="Arial" w:hAnsi="Arial"/>
                <w:sz w:val="16"/>
                <w:szCs w:val="16"/>
              </w:rPr>
              <w:t xml:space="preserve">   Lia</w:t>
            </w:r>
            <w:r>
              <w:rPr>
                <w:rFonts w:ascii="Arial" w:hAnsi="Arial"/>
                <w:sz w:val="16"/>
                <w:szCs w:val="16"/>
              </w:rPr>
              <w:t xml:space="preserve">ison Mur / Fenêtres Est :  Psi : 0, Linéaire : 5,8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Portes-fenêtres Est :  Psi : 0, Linéaire : 5,88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Fenêtres Ouest :  Psi : 0, Linéaire : 6,08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LNC léger / Portes Intérieure :  Psi : 0, Linéaire : 5,12 m, </w:t>
            </w:r>
          </w:p>
          <w:p w:rsidR="00895CCE" w:rsidRDefault="00D65E8D">
            <w:pPr>
              <w:pStyle w:val="En-tte"/>
              <w:tabs>
                <w:tab w:val="clear" w:pos="4536"/>
                <w:tab w:val="clear" w:pos="9072"/>
                <w:tab w:val="left" w:leader="dot" w:pos="7569"/>
              </w:tabs>
              <w:ind w:left="23"/>
            </w:pPr>
            <w:r>
              <w:rPr>
                <w:rFonts w:ascii="Arial" w:hAnsi="Arial"/>
                <w:sz w:val="16"/>
                <w:szCs w:val="16"/>
              </w:rPr>
              <w:lastRenderedPageBreak/>
              <w:t xml:space="preserve">   Liaison Mur / Plafond :  Psi : 0,07, Linéaire : 10,99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Plancher_int :  Psi : 0,92, Linéaire : 9,55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Refend :  Psi : 0,82, Linéaire : 7,5</w:t>
            </w:r>
            <w:r>
              <w:rPr>
                <w:rFonts w:ascii="Arial" w:hAnsi="Arial"/>
                <w:sz w:val="16"/>
                <w:szCs w:val="16"/>
              </w:rPr>
              <w:t xml:space="preserve">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 Plancher :  Psi : 0,71, Linéaire : 10,99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LNC lourd / Plafond :  Psi : 0,07, Linéaire : 0,65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LNC lourd / Plancher :  Psi : 0,71, Linéaire : 0,65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LNC léger / Plafond :  Psi : 0,07</w:t>
            </w:r>
            <w:r>
              <w:rPr>
                <w:rFonts w:ascii="Arial" w:hAnsi="Arial"/>
                <w:sz w:val="16"/>
                <w:szCs w:val="16"/>
              </w:rPr>
              <w:t xml:space="preserve">, Linéaire : 1,51 m, </w:t>
            </w:r>
          </w:p>
          <w:p w:rsidR="00895CCE" w:rsidRDefault="00D65E8D">
            <w:pPr>
              <w:pStyle w:val="En-tte"/>
              <w:tabs>
                <w:tab w:val="clear" w:pos="4536"/>
                <w:tab w:val="clear" w:pos="9072"/>
                <w:tab w:val="left" w:leader="dot" w:pos="7569"/>
              </w:tabs>
              <w:ind w:left="23"/>
            </w:pPr>
            <w:r>
              <w:rPr>
                <w:rFonts w:ascii="Arial" w:hAnsi="Arial"/>
                <w:sz w:val="16"/>
                <w:szCs w:val="16"/>
              </w:rPr>
              <w:t xml:space="preserve">   Liaison Mur LNC léger / Plancher :  Psi : 0,71, Linéaire : 1,51 m</w:t>
            </w:r>
          </w:p>
        </w:tc>
      </w:tr>
      <w:tr w:rsidR="00895CCE">
        <w:tc>
          <w:tcPr>
            <w:tcW w:w="0" w:type="auto"/>
            <w:vMerge w:val="restart"/>
            <w:textDirection w:val="btLr"/>
            <w:vAlign w:val="center"/>
          </w:tcPr>
          <w:p w:rsidR="00895CCE" w:rsidRDefault="00D65E8D">
            <w:pPr>
              <w:tabs>
                <w:tab w:val="left" w:pos="129"/>
                <w:tab w:val="left" w:leader="dot" w:pos="2042"/>
              </w:tabs>
              <w:ind w:left="2155" w:right="113" w:hanging="2042"/>
              <w:jc w:val="center"/>
              <w:rPr>
                <w:rFonts w:ascii="Arial" w:hAnsi="Arial"/>
                <w:sz w:val="16"/>
                <w:szCs w:val="16"/>
              </w:rPr>
            </w:pPr>
            <w:r>
              <w:rPr>
                <w:rFonts w:ascii="Arial" w:hAnsi="Arial"/>
                <w:sz w:val="16"/>
                <w:szCs w:val="16"/>
              </w:rPr>
              <w:lastRenderedPageBreak/>
              <w:t>Système</w:t>
            </w: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 la ventilation</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Naturelle par ouverture des fenêtres</w:t>
            </w:r>
          </w:p>
          <w:p w:rsidR="00895CCE" w:rsidRDefault="00D65E8D">
            <w:pPr>
              <w:pStyle w:val="En-tte"/>
              <w:tabs>
                <w:tab w:val="clear" w:pos="4536"/>
                <w:tab w:val="clear" w:pos="9072"/>
                <w:tab w:val="left" w:leader="dot" w:pos="7569"/>
              </w:tabs>
              <w:ind w:left="23"/>
            </w:pPr>
            <w:r>
              <w:rPr>
                <w:rFonts w:ascii="Arial" w:hAnsi="Arial"/>
                <w:sz w:val="16"/>
                <w:szCs w:val="16"/>
              </w:rPr>
              <w:t xml:space="preserve">   Qvareq : 1,2, Smea : 0, Q4pa/m² : 228,1, Q4pa : 228,1, Hvent : 34,5, Hperm : 4,4</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du chauffage</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 xml:space="preserve">Chaudière individuelle Gaz Naturel condensation installée après 2000 avec programmateur </w:t>
            </w:r>
          </w:p>
          <w:p w:rsidR="00895CCE" w:rsidRDefault="00D65E8D">
            <w:pPr>
              <w:pStyle w:val="En-tte"/>
              <w:tabs>
                <w:tab w:val="clear" w:pos="4536"/>
                <w:tab w:val="clear" w:pos="9072"/>
                <w:tab w:val="left" w:leader="dot" w:pos="7569"/>
              </w:tabs>
              <w:ind w:left="23"/>
            </w:pPr>
            <w:r>
              <w:rPr>
                <w:rFonts w:ascii="Arial" w:hAnsi="Arial"/>
                <w:sz w:val="16"/>
                <w:szCs w:val="16"/>
              </w:rPr>
              <w:t>Emetteurs: Radiateurs</w:t>
            </w:r>
          </w:p>
          <w:p w:rsidR="00895CCE" w:rsidRDefault="00D65E8D">
            <w:pPr>
              <w:pStyle w:val="En-tte"/>
              <w:tabs>
                <w:tab w:val="clear" w:pos="4536"/>
                <w:tab w:val="clear" w:pos="9072"/>
                <w:tab w:val="left" w:leader="dot" w:pos="7569"/>
              </w:tabs>
              <w:ind w:left="23"/>
            </w:pPr>
            <w:r>
              <w:rPr>
                <w:rFonts w:ascii="Arial" w:hAnsi="Arial"/>
                <w:sz w:val="16"/>
                <w:szCs w:val="16"/>
              </w:rPr>
              <w:t xml:space="preserve">   Re : 0,95, Rr : 0,9, Rd : 0,95, Pn : 24, Fch : 0</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 la production d’eau chaude sanitaire</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Combiné au système: Chaudière individuelle Gaz Naturel condensation installée après 2000 avec programmateur</w:t>
            </w:r>
          </w:p>
          <w:p w:rsidR="00895CCE" w:rsidRDefault="00D65E8D">
            <w:pPr>
              <w:pStyle w:val="En-tte"/>
              <w:tabs>
                <w:tab w:val="clear" w:pos="4536"/>
                <w:tab w:val="clear" w:pos="9072"/>
                <w:tab w:val="left" w:leader="dot" w:pos="7569"/>
              </w:tabs>
              <w:ind w:left="23"/>
            </w:pPr>
            <w:r>
              <w:rPr>
                <w:rFonts w:ascii="Arial" w:hAnsi="Arial"/>
                <w:sz w:val="16"/>
                <w:szCs w:val="16"/>
              </w:rPr>
              <w:t xml:space="preserve">   Becs : 1585, Rd : 0,82, Rg : 0,74, Pn : 24, Iecs : 1,64, Fecs : 0</w:t>
            </w:r>
          </w:p>
        </w:tc>
      </w:tr>
      <w:tr w:rsidR="00895CCE">
        <w:tc>
          <w:tcPr>
            <w:tcW w:w="0" w:type="auto"/>
            <w:vMerge/>
          </w:tcPr>
          <w:p w:rsidR="00895CCE" w:rsidRDefault="00895CCE">
            <w:pPr>
              <w:tabs>
                <w:tab w:val="left" w:pos="129"/>
                <w:tab w:val="left" w:leader="dot" w:pos="2042"/>
              </w:tabs>
              <w:ind w:left="2155" w:right="113" w:hanging="2042"/>
              <w:jc w:val="center"/>
              <w:rPr>
                <w:rFonts w:ascii="Arial" w:hAnsi="Arial"/>
                <w:sz w:val="16"/>
                <w:szCs w:val="16"/>
              </w:rPr>
            </w:pPr>
          </w:p>
        </w:tc>
        <w:tc>
          <w:tcPr>
            <w:tcW w:w="2912" w:type="dxa"/>
            <w:vAlign w:val="center"/>
          </w:tcPr>
          <w:p w:rsidR="00895CCE" w:rsidRDefault="00D65E8D">
            <w:pPr>
              <w:tabs>
                <w:tab w:val="left" w:leader="dot" w:pos="9128"/>
              </w:tabs>
              <w:rPr>
                <w:rFonts w:ascii="Arial" w:hAnsi="Arial"/>
                <w:sz w:val="16"/>
                <w:szCs w:val="16"/>
              </w:rPr>
            </w:pPr>
            <w:r>
              <w:rPr>
                <w:rFonts w:ascii="Arial" w:hAnsi="Arial"/>
                <w:sz w:val="16"/>
                <w:szCs w:val="16"/>
              </w:rPr>
              <w:t>Caractéristiques de la climatisation</w:t>
            </w:r>
          </w:p>
        </w:tc>
        <w:tc>
          <w:tcPr>
            <w:tcW w:w="7229" w:type="dxa"/>
          </w:tcPr>
          <w:p w:rsidR="00895CCE" w:rsidRDefault="00D65E8D">
            <w:pPr>
              <w:pStyle w:val="En-tte"/>
              <w:tabs>
                <w:tab w:val="clear" w:pos="4536"/>
                <w:tab w:val="clear" w:pos="9072"/>
                <w:tab w:val="left" w:leader="dot" w:pos="7569"/>
              </w:tabs>
              <w:ind w:left="23"/>
              <w:rPr>
                <w:rFonts w:ascii="Arial" w:hAnsi="Arial"/>
                <w:sz w:val="16"/>
                <w:szCs w:val="16"/>
              </w:rPr>
            </w:pPr>
            <w:r>
              <w:rPr>
                <w:rFonts w:ascii="Arial" w:hAnsi="Arial"/>
                <w:sz w:val="16"/>
                <w:szCs w:val="16"/>
              </w:rPr>
              <w:t>Néant</w:t>
            </w:r>
          </w:p>
        </w:tc>
      </w:tr>
    </w:tbl>
    <w:p w:rsidR="00895CCE" w:rsidRDefault="00895CCE">
      <w:pPr>
        <w:rPr>
          <w:rFonts w:ascii="Arial" w:hAnsi="Arial"/>
          <w:sz w:val="18"/>
          <w:szCs w:val="18"/>
        </w:rPr>
      </w:pPr>
    </w:p>
    <w:p w:rsidR="00895CCE" w:rsidRDefault="00895CCE">
      <w:pPr>
        <w:rPr>
          <w:rFonts w:ascii="Arial" w:hAnsi="Arial"/>
          <w:sz w:val="20"/>
          <w:szCs w:val="20"/>
        </w:rPr>
      </w:pPr>
    </w:p>
    <w:tbl>
      <w:tblPr>
        <w:tblW w:w="4996" w:type="pct"/>
        <w:tblBorders>
          <w:top w:val="nil"/>
          <w:left w:val="nil"/>
          <w:bottom w:val="nil"/>
          <w:right w:val="nil"/>
          <w:insideH w:val="nil"/>
          <w:insideV w:val="nil"/>
        </w:tblBorders>
        <w:tblLayout w:type="fixed"/>
        <w:tblLook w:val="04A0"/>
      </w:tblPr>
      <w:tblGrid>
        <w:gridCol w:w="10740"/>
        <w:gridCol w:w="239"/>
      </w:tblGrid>
      <w:tr w:rsidR="00895CCE">
        <w:trPr>
          <w:gridAfter w:val="1"/>
          <w:wAfter w:w="239" w:type="dxa"/>
          <w:cantSplit/>
        </w:trPr>
        <w:tc>
          <w:tcPr>
            <w:tcW w:w="4891" w:type="pct"/>
            <w:shd w:val="clear" w:color="auto" w:fill="auto"/>
          </w:tcPr>
          <w:p w:rsidR="00895CCE" w:rsidRDefault="00D65E8D">
            <w:pPr>
              <w:rPr>
                <w:rFonts w:ascii="Arial" w:hAnsi="Arial"/>
                <w:sz w:val="20"/>
                <w:szCs w:val="20"/>
              </w:rPr>
            </w:pPr>
            <w:r>
              <w:rPr>
                <w:rFonts w:ascii="Arial" w:hAnsi="Arial"/>
                <w:sz w:val="20"/>
                <w:szCs w:val="20"/>
              </w:rPr>
              <w:t>Explications personnalisées sur</w:t>
            </w:r>
            <w:r>
              <w:rPr>
                <w:rFonts w:ascii="Arial" w:hAnsi="Arial"/>
                <w:sz w:val="20"/>
                <w:szCs w:val="20"/>
              </w:rPr>
              <w:t xml:space="preserve"> les éléments pouvant mener à des différences entre les consommations estimées et les consommations réelles :</w:t>
            </w:r>
          </w:p>
          <w:p w:rsidR="00895CCE" w:rsidRDefault="00895CCE">
            <w:pPr>
              <w:rPr>
                <w:rFonts w:ascii="Arial" w:hAnsi="Arial"/>
                <w:sz w:val="20"/>
                <w:szCs w:val="20"/>
              </w:rPr>
            </w:pPr>
          </w:p>
          <w:p w:rsidR="00895CCE" w:rsidRDefault="00D65E8D">
            <w:pPr>
              <w:rPr>
                <w:rFonts w:ascii="Arial" w:hAnsi="Arial"/>
                <w:sz w:val="20"/>
                <w:szCs w:val="20"/>
              </w:rPr>
            </w:pPr>
            <w:r>
              <w:rPr>
                <w:rFonts w:ascii="Arial" w:hAnsi="Arial"/>
                <w:sz w:val="18"/>
                <w:szCs w:val="18"/>
              </w:rPr>
              <w:t>Le mode de vie (les habitudes) des occupants peuvent expliquer les écarts existant entre la simulation conventionnelle et la consommation réelle.</w:t>
            </w:r>
          </w:p>
          <w:p w:rsidR="00895CCE" w:rsidRDefault="00895CCE">
            <w:pPr>
              <w:rPr>
                <w:rFonts w:ascii="Arial" w:hAnsi="Arial"/>
                <w:sz w:val="20"/>
                <w:szCs w:val="20"/>
              </w:rPr>
            </w:pPr>
          </w:p>
          <w:p w:rsidR="00895CCE" w:rsidRDefault="00895CCE">
            <w:pPr>
              <w:rPr>
                <w:rFonts w:ascii="Arial" w:hAnsi="Arial"/>
                <w:sz w:val="20"/>
                <w:szCs w:val="20"/>
              </w:rPr>
            </w:pPr>
          </w:p>
          <w:p w:rsidR="00895CCE" w:rsidRDefault="00895CCE">
            <w:pPr>
              <w:rPr>
                <w:rFonts w:ascii="Arial" w:hAnsi="Arial"/>
                <w:sz w:val="20"/>
                <w:szCs w:val="20"/>
              </w:rPr>
            </w:pPr>
          </w:p>
        </w:tc>
      </w:tr>
      <w:tr w:rsidR="00895CCE">
        <w:trPr>
          <w:cantSplit/>
        </w:trPr>
        <w:tc>
          <w:tcPr>
            <w:tcW w:w="5000" w:type="pct"/>
            <w:gridSpan w:val="2"/>
            <w:shd w:val="clear" w:color="auto" w:fill="auto"/>
          </w:tcPr>
          <w:p w:rsidR="00895CCE" w:rsidRDefault="00D65E8D">
            <w:pPr>
              <w:jc w:val="center"/>
              <w:rPr>
                <w:rFonts w:ascii="Arial" w:hAnsi="Arial"/>
                <w:sz w:val="20"/>
                <w:szCs w:val="20"/>
              </w:rPr>
            </w:pPr>
            <w:r>
              <w:rPr>
                <w:rFonts w:ascii="Arial" w:hAnsi="Arial"/>
                <w:sz w:val="20"/>
                <w:szCs w:val="20"/>
              </w:rPr>
              <w:t>Tableau récapitulatif de la méthode à utiliser pour la réalisation du DPE :</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421"/>
              <w:gridCol w:w="1276"/>
              <w:gridCol w:w="1417"/>
              <w:gridCol w:w="1418"/>
              <w:gridCol w:w="1417"/>
              <w:gridCol w:w="1276"/>
              <w:gridCol w:w="1276"/>
              <w:gridCol w:w="1074"/>
            </w:tblGrid>
            <w:tr w:rsidR="00895CCE">
              <w:trPr>
                <w:jc w:val="center"/>
              </w:trPr>
              <w:tc>
                <w:tcPr>
                  <w:tcW w:w="1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à usage principal d’habitation</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ou partie de bâtiment à usage principal autre que d’habitation</w:t>
                  </w:r>
                </w:p>
              </w:tc>
            </w:tr>
            <w:tr w:rsidR="00895CCE">
              <w:trPr>
                <w:jc w:val="center"/>
              </w:trPr>
              <w:tc>
                <w:tcPr>
                  <w:tcW w:w="1421"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DPE pour un immeuble ou une maison individuelle</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 xml:space="preserve">Appartement </w:t>
                  </w:r>
                  <w:r>
                    <w:rPr>
                      <w:rFonts w:ascii="Arial" w:hAnsi="Arial"/>
                      <w:sz w:val="18"/>
                      <w:szCs w:val="18"/>
                    </w:rPr>
                    <w:t>avec système collectif de chauffage ou de production d’ECS sans comptage individuel quand un DPE a été réalisé à l’immeuble</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DPE non réalisé à l’immeuble</w:t>
                  </w:r>
                </w:p>
              </w:tc>
              <w:tc>
                <w:tcPr>
                  <w:tcW w:w="1074"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r>
            <w:tr w:rsidR="00895CCE">
              <w:trPr>
                <w:jc w:val="center"/>
              </w:trPr>
              <w:tc>
                <w:tcPr>
                  <w:tcW w:w="1421"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Appartement avec systèmes individuels de chauffage et de production d’ECS ou collectifs et équipés</w:t>
                  </w:r>
                  <w:r>
                    <w:rPr>
                      <w:rFonts w:ascii="Arial" w:hAnsi="Arial"/>
                      <w:sz w:val="18"/>
                      <w:szCs w:val="18"/>
                    </w:rPr>
                    <w:t xml:space="preserve"> comptages individuels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Appartement avec système collectif de chauffage ou de production d’ECS sans comptage individuel</w:t>
                  </w:r>
                </w:p>
              </w:tc>
              <w:tc>
                <w:tcPr>
                  <w:tcW w:w="1074"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r>
            <w:tr w:rsidR="00895CCE">
              <w:trPr>
                <w:jc w:val="center"/>
              </w:trPr>
              <w:tc>
                <w:tcPr>
                  <w:tcW w:w="1421"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construit avant 1948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construit après 1948</w:t>
                  </w:r>
                </w:p>
              </w:tc>
              <w:tc>
                <w:tcPr>
                  <w:tcW w:w="1418"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construit avant 1948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Bâtiment construit après 1948</w:t>
                  </w:r>
                </w:p>
              </w:tc>
              <w:tc>
                <w:tcPr>
                  <w:tcW w:w="1276"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1074"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r>
            <w:tr w:rsidR="00895CCE">
              <w:trPr>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 xml:space="preserve">Calcul </w:t>
                  </w:r>
                  <w:r>
                    <w:rPr>
                      <w:rFonts w:ascii="Arial" w:hAnsi="Arial"/>
                      <w:sz w:val="18"/>
                      <w:szCs w:val="18"/>
                    </w:rPr>
                    <w:t>conventionnel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A partir du DPE à l’immeuble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r>
            <w:tr w:rsidR="00895CCE">
              <w:trPr>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Utilisation des factures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tcPr>
                <w:p w:rsidR="00895CCE" w:rsidRDefault="00895CCE">
                  <w:pPr>
                    <w:jc w:val="center"/>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895CCE">
                  <w:pPr>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895CCE" w:rsidRDefault="00D65E8D">
                  <w:pPr>
                    <w:jc w:val="center"/>
                    <w:rPr>
                      <w:rFonts w:ascii="Arial" w:hAnsi="Arial"/>
                      <w:sz w:val="18"/>
                      <w:szCs w:val="18"/>
                    </w:rPr>
                  </w:pPr>
                  <w:r>
                    <w:rPr>
                      <w:rFonts w:ascii="Arial" w:hAnsi="Arial"/>
                      <w:sz w:val="18"/>
                      <w:szCs w:val="18"/>
                    </w:rPr>
                    <w:t>X</w:t>
                  </w:r>
                </w:p>
              </w:tc>
            </w:tr>
          </w:tbl>
          <w:p w:rsidR="00895CCE" w:rsidRDefault="00895CCE">
            <w:pPr>
              <w:rPr>
                <w:rFonts w:ascii="Arial" w:hAnsi="Arial"/>
                <w:sz w:val="20"/>
                <w:szCs w:val="20"/>
              </w:rPr>
            </w:pPr>
          </w:p>
        </w:tc>
      </w:tr>
    </w:tbl>
    <w:p w:rsidR="00895CCE" w:rsidRDefault="00895CCE">
      <w:pPr>
        <w:rPr>
          <w:rFonts w:ascii="Arial" w:hAnsi="Arial"/>
          <w:sz w:val="20"/>
          <w:szCs w:val="20"/>
        </w:rPr>
      </w:pPr>
    </w:p>
    <w:p w:rsidR="00895CCE" w:rsidRDefault="00895CCE">
      <w:pPr>
        <w:rPr>
          <w:rFonts w:ascii="Arial" w:hAnsi="Arial"/>
          <w:sz w:val="20"/>
          <w:szCs w:val="20"/>
        </w:rPr>
      </w:pPr>
    </w:p>
    <w:p w:rsidR="00895CCE" w:rsidRDefault="00D65E8D">
      <w:pPr>
        <w:rPr>
          <w:rFonts w:ascii="Arial" w:hAnsi="Arial"/>
          <w:sz w:val="20"/>
          <w:szCs w:val="20"/>
        </w:rPr>
      </w:pPr>
      <w:r>
        <w:rPr>
          <w:rFonts w:ascii="Arial" w:hAnsi="Arial"/>
          <w:sz w:val="20"/>
          <w:szCs w:val="20"/>
        </w:rPr>
        <w:t xml:space="preserve">Pour plus d’informations : </w:t>
      </w:r>
    </w:p>
    <w:p w:rsidR="00895CCE" w:rsidRDefault="00D65E8D">
      <w:pPr>
        <w:rPr>
          <w:rFonts w:ascii="Arial" w:hAnsi="Arial"/>
          <w:sz w:val="20"/>
          <w:szCs w:val="20"/>
        </w:rPr>
      </w:pPr>
      <w:r>
        <w:rPr>
          <w:rFonts w:ascii="Arial" w:hAnsi="Arial"/>
          <w:sz w:val="20"/>
          <w:szCs w:val="20"/>
        </w:rPr>
        <w:t>www.developpement-durable.gouv.fr rubrique performance énergétique</w:t>
      </w:r>
    </w:p>
    <w:p w:rsidR="00895CCE" w:rsidRDefault="00D65E8D">
      <w:pPr>
        <w:rPr>
          <w:rFonts w:ascii="Arial" w:hAnsi="Arial"/>
          <w:sz w:val="20"/>
          <w:szCs w:val="20"/>
        </w:rPr>
      </w:pPr>
      <w:r>
        <w:rPr>
          <w:rFonts w:ascii="Arial" w:hAnsi="Arial"/>
          <w:sz w:val="20"/>
          <w:szCs w:val="20"/>
        </w:rPr>
        <w:t>www.ademe.fr</w:t>
      </w:r>
    </w:p>
    <w:p w:rsidR="00895CCE" w:rsidRDefault="00895CCE">
      <w:pPr>
        <w:rPr>
          <w:rFonts w:ascii="Arial" w:hAnsi="Arial"/>
          <w:sz w:val="20"/>
          <w:szCs w:val="20"/>
        </w:rPr>
      </w:pPr>
    </w:p>
    <w:p w:rsidR="00895CCE" w:rsidRDefault="00895CCE">
      <w:pPr>
        <w:rPr>
          <w:rFonts w:ascii="Arial" w:hAnsi="Arial"/>
          <w:sz w:val="2"/>
          <w:szCs w:val="2"/>
        </w:rPr>
      </w:pPr>
    </w:p>
    <w:sectPr w:rsidR="00895CCE" w:rsidSect="00895CCE">
      <w:footerReference w:type="default" r:id="rId14"/>
      <w:type w:val="continuous"/>
      <w:pgSz w:w="11906" w:h="16838"/>
      <w:pgMar w:top="624" w:right="567" w:bottom="624" w:left="567" w:header="709" w:footer="1113"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D9E" w:rsidRDefault="008D7D9E">
      <w:r>
        <w:separator/>
      </w:r>
    </w:p>
  </w:endnote>
  <w:endnote w:type="continuationSeparator" w:id="1">
    <w:p w:rsidR="008D7D9E" w:rsidRDefault="008D7D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text" w:tblpX="108" w:tblpY="1"/>
      <w:tblW w:w="10728" w:type="dxa"/>
      <w:tblBorders>
        <w:top w:val="single" w:sz="4" w:space="0" w:color="auto"/>
        <w:left w:val="nil"/>
        <w:bottom w:val="nil"/>
        <w:right w:val="nil"/>
        <w:insideH w:val="nil"/>
        <w:insideV w:val="nil"/>
      </w:tblBorders>
      <w:tblLayout w:type="fixed"/>
      <w:tblLook w:val="01E0"/>
    </w:tblPr>
    <w:tblGrid>
      <w:gridCol w:w="8208"/>
      <w:gridCol w:w="2520"/>
    </w:tblGrid>
    <w:tr w:rsidR="00895CCE">
      <w:trPr>
        <w:trHeight w:val="260"/>
      </w:trPr>
      <w:tc>
        <w:tcPr>
          <w:tcW w:w="8208" w:type="dxa"/>
          <w:tcBorders>
            <w:top w:val="single" w:sz="4" w:space="0" w:color="auto"/>
            <w:left w:val="nil"/>
            <w:bottom w:val="nil"/>
            <w:right w:val="nil"/>
          </w:tcBorders>
          <w:tcMar>
            <w:top w:w="85" w:type="dxa"/>
            <w:left w:w="108" w:type="dxa"/>
            <w:bottom w:w="0" w:type="dxa"/>
            <w:right w:w="108" w:type="dxa"/>
          </w:tcMar>
          <w:vAlign w:val="center"/>
        </w:tcPr>
        <w:p w:rsidR="00895CCE" w:rsidRDefault="00D65E8D">
          <w:pPr>
            <w:pStyle w:val="En-tte"/>
            <w:tabs>
              <w:tab w:val="left" w:pos="708"/>
            </w:tabs>
            <w:jc w:val="center"/>
            <w:rPr>
              <w:rFonts w:ascii="Arial" w:hAnsi="Arial"/>
              <w:sz w:val="16"/>
              <w:szCs w:val="16"/>
            </w:rPr>
          </w:pPr>
          <w:r>
            <w:rPr>
              <w:rFonts w:ascii="Calibri" w:hAnsi="Calibri"/>
              <w:sz w:val="16"/>
              <w:szCs w:val="16"/>
            </w:rPr>
            <w:t xml:space="preserve">DiagnosticPro | 92 avenue Jules Nadi 26600 Tain l'Hermitage | Tél. : 04 75 08 00 30 - E-mail : contact@diagnosticpro.fr </w:t>
          </w:r>
        </w:p>
        <w:p w:rsidR="00895CCE" w:rsidRDefault="00D65E8D">
          <w:pPr>
            <w:pStyle w:val="En-tte"/>
            <w:tabs>
              <w:tab w:val="left" w:pos="708"/>
            </w:tabs>
            <w:jc w:val="center"/>
          </w:pPr>
          <w:r>
            <w:rPr>
              <w:rFonts w:ascii="Calibri" w:hAnsi="Calibri"/>
              <w:sz w:val="16"/>
              <w:szCs w:val="16"/>
            </w:rPr>
            <w:t>RCS : Romans-sur-Isère | DiagnosticPro | Siret n°821 207 875 00013</w:t>
          </w:r>
        </w:p>
      </w:tc>
      <w:tc>
        <w:tcPr>
          <w:tcW w:w="2520" w:type="dxa"/>
          <w:tcBorders>
            <w:top w:val="single" w:sz="4" w:space="0" w:color="auto"/>
            <w:left w:val="nil"/>
            <w:bottom w:val="nil"/>
            <w:right w:val="nil"/>
          </w:tcBorders>
          <w:tcMar>
            <w:top w:w="85" w:type="dxa"/>
            <w:left w:w="108" w:type="dxa"/>
            <w:bottom w:w="0" w:type="dxa"/>
            <w:right w:w="108" w:type="dxa"/>
          </w:tcMar>
          <w:vAlign w:val="center"/>
        </w:tcPr>
        <w:p w:rsidR="00895CCE" w:rsidRDefault="00895CCE">
          <w:pPr>
            <w:pStyle w:val="En-tte"/>
            <w:tabs>
              <w:tab w:val="left" w:pos="708"/>
            </w:tabs>
            <w:jc w:val="center"/>
            <w:rPr>
              <w:rFonts w:ascii="Verdana" w:hAnsi="Verdana"/>
              <w:sz w:val="20"/>
              <w:szCs w:val="20"/>
            </w:rPr>
          </w:pPr>
          <w:r>
            <w:rPr>
              <w:rFonts w:ascii="Verdana" w:hAnsi="Verdana"/>
              <w:b/>
              <w:sz w:val="20"/>
              <w:szCs w:val="20"/>
            </w:rPr>
            <w:fldChar w:fldCharType="begin"/>
          </w:r>
          <w:r w:rsidR="00D65E8D">
            <w:rPr>
              <w:rFonts w:ascii="Verdana" w:hAnsi="Verdana"/>
              <w:b/>
              <w:sz w:val="20"/>
              <w:szCs w:val="20"/>
            </w:rPr>
            <w:instrText xml:space="preserve">PAGE </w:instrText>
          </w:r>
          <w:r>
            <w:rPr>
              <w:rFonts w:ascii="Verdana" w:hAnsi="Verdana"/>
              <w:b/>
              <w:sz w:val="20"/>
              <w:szCs w:val="20"/>
            </w:rPr>
            <w:fldChar w:fldCharType="separate"/>
          </w:r>
          <w:r w:rsidR="00D65E8D">
            <w:rPr>
              <w:rFonts w:ascii="Verdana" w:hAnsi="Verdana"/>
              <w:b/>
              <w:noProof/>
              <w:sz w:val="20"/>
              <w:szCs w:val="20"/>
            </w:rPr>
            <w:t>1</w:t>
          </w:r>
          <w:r>
            <w:rPr>
              <w:rFonts w:ascii="Verdana" w:hAnsi="Verdana"/>
              <w:b/>
              <w:sz w:val="20"/>
              <w:szCs w:val="20"/>
            </w:rPr>
            <w:fldChar w:fldCharType="end"/>
          </w:r>
          <w:r w:rsidR="00D65E8D">
            <w:rPr>
              <w:rFonts w:ascii="Verdana" w:hAnsi="Verdana"/>
              <w:sz w:val="20"/>
              <w:szCs w:val="20"/>
            </w:rPr>
            <w:t>/</w:t>
          </w:r>
          <w:r>
            <w:rPr>
              <w:rFonts w:ascii="Verdana" w:hAnsi="Verdana"/>
              <w:sz w:val="20"/>
              <w:szCs w:val="20"/>
            </w:rPr>
            <w:fldChar w:fldCharType="begin"/>
          </w:r>
          <w:r w:rsidR="00D65E8D">
            <w:rPr>
              <w:rFonts w:ascii="Verdana" w:hAnsi="Verdana"/>
              <w:sz w:val="20"/>
              <w:szCs w:val="20"/>
            </w:rPr>
            <w:instrText xml:space="preserve">NUMPAGES </w:instrText>
          </w:r>
          <w:r>
            <w:rPr>
              <w:rFonts w:ascii="Verdana" w:hAnsi="Verdana"/>
              <w:sz w:val="20"/>
              <w:szCs w:val="20"/>
            </w:rPr>
            <w:fldChar w:fldCharType="separate"/>
          </w:r>
          <w:r w:rsidR="00D65E8D">
            <w:rPr>
              <w:rFonts w:ascii="Verdana" w:hAnsi="Verdana"/>
              <w:noProof/>
              <w:sz w:val="20"/>
              <w:szCs w:val="20"/>
            </w:rPr>
            <w:t>6</w:t>
          </w:r>
          <w:r>
            <w:rPr>
              <w:rFonts w:ascii="Verdana" w:hAnsi="Verdana"/>
              <w:sz w:val="20"/>
              <w:szCs w:val="20"/>
            </w:rPr>
            <w:fldChar w:fldCharType="end"/>
          </w:r>
        </w:p>
        <w:p w:rsidR="00895CCE" w:rsidRDefault="00D65E8D">
          <w:pPr>
            <w:pStyle w:val="En-tte"/>
            <w:tabs>
              <w:tab w:val="left" w:pos="3308"/>
            </w:tabs>
            <w:jc w:val="center"/>
            <w:rPr>
              <w:rFonts w:ascii="Arial" w:hAnsi="Arial"/>
              <w:sz w:val="16"/>
              <w:szCs w:val="16"/>
            </w:rPr>
          </w:pPr>
          <w:r>
            <w:rPr>
              <w:rFonts w:ascii="Arial" w:hAnsi="Arial"/>
              <w:sz w:val="16"/>
              <w:szCs w:val="16"/>
            </w:rPr>
            <w:t>Dossier 19/IMO/03957</w:t>
          </w:r>
        </w:p>
        <w:p w:rsidR="00895CCE" w:rsidRDefault="00D65E8D">
          <w:pPr>
            <w:pStyle w:val="En-tte"/>
            <w:tabs>
              <w:tab w:val="left" w:pos="708"/>
            </w:tabs>
            <w:jc w:val="center"/>
            <w:rPr>
              <w:sz w:val="18"/>
              <w:szCs w:val="18"/>
            </w:rPr>
          </w:pPr>
          <w:r>
            <w:rPr>
              <w:sz w:val="16"/>
              <w:szCs w:val="16"/>
            </w:rPr>
            <w:t xml:space="preserve">Rapport du : </w:t>
          </w:r>
          <w:r>
            <w:rPr>
              <w:sz w:val="18"/>
              <w:szCs w:val="18"/>
            </w:rPr>
            <w:t>11/03/2019</w:t>
          </w:r>
        </w:p>
      </w:tc>
    </w:tr>
  </w:tbl>
  <w:p w:rsidR="00895CCE" w:rsidRDefault="00895CC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D9E" w:rsidRDefault="008D7D9E">
      <w:r>
        <w:separator/>
      </w:r>
    </w:p>
  </w:footnote>
  <w:footnote w:type="continuationSeparator" w:id="1">
    <w:p w:rsidR="008D7D9E" w:rsidRDefault="008D7D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09"/>
  <w:hyphenationZone w:val="425"/>
  <w:characterSpacingControl w:val="doNotCompress"/>
  <w:hdrShapeDefaults>
    <o:shapedefaults v:ext="edit" spidmax="5121"/>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0332"/>
    <w:rsid w:val="0000354A"/>
    <w:rsid w:val="00034DC6"/>
    <w:rsid w:val="00042E8C"/>
    <w:rsid w:val="00051026"/>
    <w:rsid w:val="00056AC8"/>
    <w:rsid w:val="00065117"/>
    <w:rsid w:val="00070CB0"/>
    <w:rsid w:val="00074869"/>
    <w:rsid w:val="000846C1"/>
    <w:rsid w:val="00096719"/>
    <w:rsid w:val="000A5C2E"/>
    <w:rsid w:val="000A7AFB"/>
    <w:rsid w:val="000C43EB"/>
    <w:rsid w:val="000D1DE6"/>
    <w:rsid w:val="000D66B9"/>
    <w:rsid w:val="000E145A"/>
    <w:rsid w:val="000E3FCC"/>
    <w:rsid w:val="000F4E3E"/>
    <w:rsid w:val="000F7802"/>
    <w:rsid w:val="0010705E"/>
    <w:rsid w:val="001208F6"/>
    <w:rsid w:val="00140F37"/>
    <w:rsid w:val="001474CE"/>
    <w:rsid w:val="0015377A"/>
    <w:rsid w:val="00182669"/>
    <w:rsid w:val="00182DCC"/>
    <w:rsid w:val="00186382"/>
    <w:rsid w:val="001973F5"/>
    <w:rsid w:val="001B0877"/>
    <w:rsid w:val="001B1030"/>
    <w:rsid w:val="001B7ACE"/>
    <w:rsid w:val="001F3728"/>
    <w:rsid w:val="002069FC"/>
    <w:rsid w:val="002070B6"/>
    <w:rsid w:val="00221383"/>
    <w:rsid w:val="0022714B"/>
    <w:rsid w:val="00235EAC"/>
    <w:rsid w:val="0024058A"/>
    <w:rsid w:val="00243DF2"/>
    <w:rsid w:val="00251253"/>
    <w:rsid w:val="00287AC8"/>
    <w:rsid w:val="002910B0"/>
    <w:rsid w:val="002B0332"/>
    <w:rsid w:val="002B364D"/>
    <w:rsid w:val="002B6662"/>
    <w:rsid w:val="002C454E"/>
    <w:rsid w:val="002E30FC"/>
    <w:rsid w:val="002E3AFD"/>
    <w:rsid w:val="002E49A2"/>
    <w:rsid w:val="002F01F1"/>
    <w:rsid w:val="002F0896"/>
    <w:rsid w:val="00365DFD"/>
    <w:rsid w:val="0038214E"/>
    <w:rsid w:val="003F415F"/>
    <w:rsid w:val="00407179"/>
    <w:rsid w:val="00420531"/>
    <w:rsid w:val="0042764D"/>
    <w:rsid w:val="0043164E"/>
    <w:rsid w:val="00446406"/>
    <w:rsid w:val="00450728"/>
    <w:rsid w:val="004665BD"/>
    <w:rsid w:val="0047588A"/>
    <w:rsid w:val="00476B7A"/>
    <w:rsid w:val="004951FE"/>
    <w:rsid w:val="00497459"/>
    <w:rsid w:val="004B765F"/>
    <w:rsid w:val="004B7ECC"/>
    <w:rsid w:val="004C0E4C"/>
    <w:rsid w:val="004E1F83"/>
    <w:rsid w:val="004E4E2E"/>
    <w:rsid w:val="004E6812"/>
    <w:rsid w:val="00506F61"/>
    <w:rsid w:val="00511692"/>
    <w:rsid w:val="00526D6E"/>
    <w:rsid w:val="00542176"/>
    <w:rsid w:val="005528FD"/>
    <w:rsid w:val="0055342A"/>
    <w:rsid w:val="00555731"/>
    <w:rsid w:val="0056500C"/>
    <w:rsid w:val="00567902"/>
    <w:rsid w:val="00571594"/>
    <w:rsid w:val="0057458E"/>
    <w:rsid w:val="00575C93"/>
    <w:rsid w:val="005916CF"/>
    <w:rsid w:val="00596A52"/>
    <w:rsid w:val="005B4951"/>
    <w:rsid w:val="005C1329"/>
    <w:rsid w:val="005D5569"/>
    <w:rsid w:val="00605F00"/>
    <w:rsid w:val="00615F64"/>
    <w:rsid w:val="00616778"/>
    <w:rsid w:val="00616A9B"/>
    <w:rsid w:val="00632E02"/>
    <w:rsid w:val="006359F2"/>
    <w:rsid w:val="00636658"/>
    <w:rsid w:val="00643F20"/>
    <w:rsid w:val="00645D9E"/>
    <w:rsid w:val="006637B4"/>
    <w:rsid w:val="0066464A"/>
    <w:rsid w:val="0067145F"/>
    <w:rsid w:val="00674878"/>
    <w:rsid w:val="0067490D"/>
    <w:rsid w:val="006827ED"/>
    <w:rsid w:val="00682B33"/>
    <w:rsid w:val="00685AA2"/>
    <w:rsid w:val="006A2C40"/>
    <w:rsid w:val="006B75F3"/>
    <w:rsid w:val="006C281F"/>
    <w:rsid w:val="006C2833"/>
    <w:rsid w:val="006D72B3"/>
    <w:rsid w:val="006E4F4B"/>
    <w:rsid w:val="006F6AAE"/>
    <w:rsid w:val="00762160"/>
    <w:rsid w:val="007633CD"/>
    <w:rsid w:val="007672D0"/>
    <w:rsid w:val="007705E6"/>
    <w:rsid w:val="00772B6B"/>
    <w:rsid w:val="00772F3F"/>
    <w:rsid w:val="00777C10"/>
    <w:rsid w:val="007871BD"/>
    <w:rsid w:val="0079690A"/>
    <w:rsid w:val="007C7B09"/>
    <w:rsid w:val="007E1789"/>
    <w:rsid w:val="007F3423"/>
    <w:rsid w:val="008252B6"/>
    <w:rsid w:val="008557FC"/>
    <w:rsid w:val="008678D1"/>
    <w:rsid w:val="00871739"/>
    <w:rsid w:val="00882055"/>
    <w:rsid w:val="00895CCE"/>
    <w:rsid w:val="00895D51"/>
    <w:rsid w:val="008B07B3"/>
    <w:rsid w:val="008C20AD"/>
    <w:rsid w:val="008D3D84"/>
    <w:rsid w:val="008D7D9E"/>
    <w:rsid w:val="00905A34"/>
    <w:rsid w:val="009164A1"/>
    <w:rsid w:val="00916C30"/>
    <w:rsid w:val="00940B64"/>
    <w:rsid w:val="00942A0C"/>
    <w:rsid w:val="00952EF3"/>
    <w:rsid w:val="009573D4"/>
    <w:rsid w:val="00963B03"/>
    <w:rsid w:val="009962B5"/>
    <w:rsid w:val="00996D2B"/>
    <w:rsid w:val="009A0B27"/>
    <w:rsid w:val="009A2D51"/>
    <w:rsid w:val="009B09AB"/>
    <w:rsid w:val="009D2C36"/>
    <w:rsid w:val="009F58A9"/>
    <w:rsid w:val="009F5D57"/>
    <w:rsid w:val="00A276F9"/>
    <w:rsid w:val="00A3584B"/>
    <w:rsid w:val="00A66D5C"/>
    <w:rsid w:val="00A71AB8"/>
    <w:rsid w:val="00A7344F"/>
    <w:rsid w:val="00A86530"/>
    <w:rsid w:val="00AC21A4"/>
    <w:rsid w:val="00AF731B"/>
    <w:rsid w:val="00B3713F"/>
    <w:rsid w:val="00B6485B"/>
    <w:rsid w:val="00B71A92"/>
    <w:rsid w:val="00B73202"/>
    <w:rsid w:val="00BA5793"/>
    <w:rsid w:val="00BB0110"/>
    <w:rsid w:val="00BB086C"/>
    <w:rsid w:val="00BD749E"/>
    <w:rsid w:val="00C51EC9"/>
    <w:rsid w:val="00C5775D"/>
    <w:rsid w:val="00CA4114"/>
    <w:rsid w:val="00CC22D6"/>
    <w:rsid w:val="00CC5037"/>
    <w:rsid w:val="00D124F6"/>
    <w:rsid w:val="00D17D88"/>
    <w:rsid w:val="00D4565B"/>
    <w:rsid w:val="00D65E8D"/>
    <w:rsid w:val="00D71AD3"/>
    <w:rsid w:val="00D902F0"/>
    <w:rsid w:val="00D90CB9"/>
    <w:rsid w:val="00DA7B7E"/>
    <w:rsid w:val="00DD6C8D"/>
    <w:rsid w:val="00DD74D0"/>
    <w:rsid w:val="00DE4C55"/>
    <w:rsid w:val="00DF33FE"/>
    <w:rsid w:val="00DF4183"/>
    <w:rsid w:val="00E028CF"/>
    <w:rsid w:val="00E12BBA"/>
    <w:rsid w:val="00E14017"/>
    <w:rsid w:val="00E14A60"/>
    <w:rsid w:val="00E203B7"/>
    <w:rsid w:val="00E20E35"/>
    <w:rsid w:val="00E332FC"/>
    <w:rsid w:val="00E453D8"/>
    <w:rsid w:val="00E63770"/>
    <w:rsid w:val="00E92CFF"/>
    <w:rsid w:val="00EB64D4"/>
    <w:rsid w:val="00EC1E4E"/>
    <w:rsid w:val="00ED4273"/>
    <w:rsid w:val="00EF3DF4"/>
    <w:rsid w:val="00EF682B"/>
    <w:rsid w:val="00F026A8"/>
    <w:rsid w:val="00F11C65"/>
    <w:rsid w:val="00F2239E"/>
    <w:rsid w:val="00F316CD"/>
    <w:rsid w:val="00F34C13"/>
    <w:rsid w:val="00F43AAD"/>
    <w:rsid w:val="00F61D42"/>
    <w:rsid w:val="00F73D3A"/>
    <w:rsid w:val="00F823F3"/>
    <w:rsid w:val="00FA1A05"/>
    <w:rsid w:val="00FA34C0"/>
    <w:rsid w:val="00FD5BF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CCE"/>
    <w:rPr>
      <w:sz w:val="24"/>
      <w:szCs w:val="24"/>
    </w:rPr>
  </w:style>
  <w:style w:type="paragraph" w:styleId="Titre6">
    <w:name w:val="heading 6"/>
    <w:basedOn w:val="Normal"/>
    <w:qFormat/>
    <w:rsid w:val="00895CCE"/>
    <w:pPr>
      <w:spacing w:before="240" w:after="60"/>
      <w:outlineLvl w:val="5"/>
    </w:pPr>
    <w:rPr>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95CCE"/>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3">
    <w:name w:val="Body Text 3"/>
    <w:basedOn w:val="Normal"/>
    <w:rsid w:val="00895CCE"/>
    <w:pPr>
      <w:spacing w:after="240"/>
    </w:pPr>
    <w:rPr>
      <w:rFonts w:ascii="Verdana" w:hAnsi="Verdana"/>
      <w:b/>
      <w:sz w:val="32"/>
      <w:szCs w:val="32"/>
    </w:rPr>
  </w:style>
  <w:style w:type="paragraph" w:styleId="En-tte">
    <w:name w:val="header"/>
    <w:basedOn w:val="Normal"/>
    <w:link w:val="En-tteCar"/>
    <w:rsid w:val="00895CCE"/>
    <w:pPr>
      <w:tabs>
        <w:tab w:val="center" w:pos="4536"/>
        <w:tab w:val="right" w:pos="9072"/>
      </w:tabs>
    </w:pPr>
  </w:style>
  <w:style w:type="character" w:styleId="Lienhypertexte">
    <w:name w:val="Hyperlink"/>
    <w:rsid w:val="00895CCE"/>
    <w:rPr>
      <w:color w:val="0000FF"/>
      <w:u w:val="single"/>
    </w:rPr>
  </w:style>
  <w:style w:type="paragraph" w:styleId="Pieddepage">
    <w:name w:val="footer"/>
    <w:basedOn w:val="Normal"/>
    <w:rsid w:val="00895CCE"/>
    <w:pPr>
      <w:tabs>
        <w:tab w:val="center" w:pos="4536"/>
        <w:tab w:val="right" w:pos="9072"/>
      </w:tabs>
    </w:pPr>
  </w:style>
  <w:style w:type="character" w:styleId="Numrodepage">
    <w:name w:val="page number"/>
    <w:basedOn w:val="Policepardfaut"/>
    <w:rsid w:val="00895CCE"/>
  </w:style>
  <w:style w:type="paragraph" w:customStyle="1" w:styleId="xl33">
    <w:name w:val="xl33"/>
    <w:basedOn w:val="Normal"/>
    <w:rsid w:val="00895CCE"/>
    <w:pPr>
      <w:spacing w:before="100" w:beforeAutospacing="1" w:after="100" w:afterAutospacing="1"/>
    </w:pPr>
    <w:rPr>
      <w:b/>
    </w:rPr>
  </w:style>
  <w:style w:type="character" w:customStyle="1" w:styleId="En-tteCar">
    <w:name w:val="En-tête Car"/>
    <w:link w:val="En-tte"/>
    <w:rsid w:val="00895CCE"/>
    <w:rPr>
      <w:sz w:val="24"/>
      <w:szCs w:val="24"/>
    </w:rPr>
  </w:style>
  <w:style w:type="paragraph" w:styleId="Textedebulles">
    <w:name w:val="Balloon Text"/>
    <w:basedOn w:val="Normal"/>
    <w:link w:val="TextedebullesCar"/>
    <w:uiPriority w:val="99"/>
    <w:semiHidden/>
    <w:unhideWhenUsed/>
    <w:rsid w:val="00D65E8D"/>
    <w:rPr>
      <w:rFonts w:ascii="Tahoma" w:hAnsi="Tahoma" w:cs="Tahoma"/>
      <w:sz w:val="16"/>
      <w:szCs w:val="16"/>
    </w:rPr>
  </w:style>
  <w:style w:type="character" w:customStyle="1" w:styleId="TextedebullesCar">
    <w:name w:val="Texte de bulles Car"/>
    <w:basedOn w:val="Policepardfaut"/>
    <w:link w:val="Textedebulles"/>
    <w:uiPriority w:val="99"/>
    <w:semiHidden/>
    <w:rsid w:val="00D65E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7036419">
      <w:bodyDiv w:val="1"/>
      <w:marLeft w:val="0"/>
      <w:marRight w:val="0"/>
      <w:marTop w:val="0"/>
      <w:marBottom w:val="0"/>
      <w:divBdr>
        <w:top w:val="none" w:sz="0" w:space="0" w:color="auto"/>
        <w:left w:val="none" w:sz="0" w:space="0" w:color="auto"/>
        <w:bottom w:val="none" w:sz="0" w:space="0" w:color="auto"/>
        <w:right w:val="none" w:sz="0" w:space="0" w:color="auto"/>
      </w:divBdr>
    </w:div>
    <w:div w:id="266353053">
      <w:bodyDiv w:val="1"/>
      <w:marLeft w:val="0"/>
      <w:marRight w:val="0"/>
      <w:marTop w:val="0"/>
      <w:marBottom w:val="0"/>
      <w:divBdr>
        <w:top w:val="none" w:sz="0" w:space="0" w:color="auto"/>
        <w:left w:val="none" w:sz="0" w:space="0" w:color="auto"/>
        <w:bottom w:val="none" w:sz="0" w:space="0" w:color="auto"/>
        <w:right w:val="none" w:sz="0" w:space="0" w:color="auto"/>
      </w:divBdr>
    </w:div>
    <w:div w:id="285358175">
      <w:bodyDiv w:val="1"/>
      <w:marLeft w:val="0"/>
      <w:marRight w:val="0"/>
      <w:marTop w:val="0"/>
      <w:marBottom w:val="0"/>
      <w:divBdr>
        <w:top w:val="none" w:sz="0" w:space="0" w:color="auto"/>
        <w:left w:val="none" w:sz="0" w:space="0" w:color="auto"/>
        <w:bottom w:val="none" w:sz="0" w:space="0" w:color="auto"/>
        <w:right w:val="none" w:sz="0" w:space="0" w:color="auto"/>
      </w:divBdr>
    </w:div>
    <w:div w:id="652105110">
      <w:bodyDiv w:val="1"/>
      <w:marLeft w:val="0"/>
      <w:marRight w:val="0"/>
      <w:marTop w:val="0"/>
      <w:marBottom w:val="0"/>
      <w:divBdr>
        <w:top w:val="none" w:sz="0" w:space="0" w:color="auto"/>
        <w:left w:val="none" w:sz="0" w:space="0" w:color="auto"/>
        <w:bottom w:val="none" w:sz="0" w:space="0" w:color="auto"/>
        <w:right w:val="none" w:sz="0" w:space="0" w:color="auto"/>
      </w:divBdr>
    </w:div>
    <w:div w:id="1641496950">
      <w:bodyDiv w:val="1"/>
      <w:marLeft w:val="0"/>
      <w:marRight w:val="0"/>
      <w:marTop w:val="0"/>
      <w:marBottom w:val="0"/>
      <w:divBdr>
        <w:top w:val="none" w:sz="0" w:space="0" w:color="auto"/>
        <w:left w:val="none" w:sz="0" w:space="0" w:color="auto"/>
        <w:bottom w:val="none" w:sz="0" w:space="0" w:color="auto"/>
        <w:right w:val="none" w:sz="0" w:space="0" w:color="auto"/>
      </w:divBdr>
    </w:div>
    <w:div w:id="178133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deme.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developpement-durable.gouv.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mpots.gouv.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4B4C2-953A-43CB-BF2B-FF348E91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3236</Words>
  <Characters>17804</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DPE 6 1 </vt:lpstr>
    </vt:vector>
  </TitlesOfParts>
  <Company>DiagnosticPro</Company>
  <LinksUpToDate>false</LinksUpToDate>
  <CharactersWithSpaces>20999</CharactersWithSpaces>
  <SharedDoc>false</SharedDoc>
  <HLinks>
    <vt:vector size="18" baseType="variant">
      <vt:variant>
        <vt:i4>196613</vt:i4>
      </vt:variant>
      <vt:variant>
        <vt:i4>6</vt:i4>
      </vt:variant>
      <vt:variant>
        <vt:i4>0</vt:i4>
      </vt:variant>
      <vt:variant>
        <vt:i4>5</vt:i4>
      </vt:variant>
      <vt:variant>
        <vt:lpwstr>http://www.ademe.fr/</vt:lpwstr>
      </vt:variant>
      <vt:variant>
        <vt:lpwstr/>
      </vt:variant>
      <vt:variant>
        <vt:i4>917576</vt:i4>
      </vt:variant>
      <vt:variant>
        <vt:i4>3</vt:i4>
      </vt:variant>
      <vt:variant>
        <vt:i4>0</vt:i4>
      </vt:variant>
      <vt:variant>
        <vt:i4>5</vt:i4>
      </vt:variant>
      <vt:variant>
        <vt:lpwstr>http://www.developpement-durable.gouv.fr/</vt:lpwstr>
      </vt:variant>
      <vt:variant>
        <vt:lpwstr/>
      </vt:variant>
      <vt:variant>
        <vt:i4>3670127</vt:i4>
      </vt:variant>
      <vt:variant>
        <vt:i4>0</vt:i4>
      </vt:variant>
      <vt:variant>
        <vt:i4>0</vt:i4>
      </vt:variant>
      <vt:variant>
        <vt:i4>5</vt:i4>
      </vt:variant>
      <vt:variant>
        <vt:lpwstr>http://www.impots.gouv.fr/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D7 - DPE 2012 61</dc:title>
  <dc:creator>DiagnosticPro v4.249</dc:creator>
  <dc:description>Diagnostics Immobiliers</dc:description>
  <cp:lastModifiedBy>Utilisateur Windows</cp:lastModifiedBy>
  <cp:revision>3</cp:revision>
  <dcterms:created xsi:type="dcterms:W3CDTF">2016-10-24T03:51:00Z</dcterms:created>
  <dcterms:modified xsi:type="dcterms:W3CDTF">2019-03-11T22:27:00Z</dcterms:modified>
</cp:coreProperties>
</file>